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25F2" w:rsidRDefault="002425F2" w:rsidP="008B0A50">
      <w:pPr>
        <w:pStyle w:val="corte4fondo"/>
        <w:tabs>
          <w:tab w:val="left" w:pos="567"/>
        </w:tabs>
        <w:spacing w:line="240" w:lineRule="auto"/>
        <w:ind w:firstLine="0"/>
        <w:rPr>
          <w:rFonts w:ascii="AvantGarde Bk BT" w:hAnsi="AvantGarde Bk BT" w:cs="Arial"/>
          <w:b/>
          <w:color w:val="000000" w:themeColor="text1"/>
          <w:sz w:val="24"/>
          <w:szCs w:val="24"/>
        </w:rPr>
      </w:pPr>
    </w:p>
    <w:p w:rsidR="0004274F" w:rsidRPr="007C5605" w:rsidRDefault="0026483E" w:rsidP="00C44938">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372D34">
        <w:rPr>
          <w:rFonts w:ascii="AvantGarde Bk BT" w:hAnsi="AvantGarde Bk BT" w:cs="Arial"/>
          <w:b/>
          <w:color w:val="000000" w:themeColor="text1"/>
          <w:sz w:val="24"/>
          <w:szCs w:val="24"/>
        </w:rPr>
        <w:t>3</w:t>
      </w:r>
      <w:r w:rsidR="000C2642">
        <w:rPr>
          <w:rFonts w:ascii="AvantGarde Bk BT" w:hAnsi="AvantGarde Bk BT" w:cs="Arial"/>
          <w:b/>
          <w:color w:val="000000" w:themeColor="text1"/>
          <w:sz w:val="24"/>
          <w:szCs w:val="24"/>
        </w:rPr>
        <w:t>79</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0C2642">
        <w:rPr>
          <w:rFonts w:ascii="AvantGarde Bk BT" w:hAnsi="AvantGarde Bk BT" w:cs="Arial"/>
          <w:b/>
          <w:color w:val="000000" w:themeColor="text1"/>
          <w:sz w:val="24"/>
          <w:szCs w:val="24"/>
        </w:rPr>
        <w:t>SIGEMI</w:t>
      </w:r>
    </w:p>
    <w:p w:rsidR="0004274F" w:rsidRPr="007C5605" w:rsidRDefault="0004274F" w:rsidP="00C44938">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C44938">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COMISIONADO PONENTE:</w:t>
      </w:r>
    </w:p>
    <w:p w:rsidR="0004274F" w:rsidRPr="007C5605" w:rsidRDefault="0004274F" w:rsidP="00C44938">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C44938">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C44938">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C44938">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C44938">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5A1CCF" w:rsidP="00C44938">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1A4D90" w:rsidP="00C44938">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SECRETARÍA DE </w:t>
      </w:r>
      <w:r w:rsidR="000C2642">
        <w:rPr>
          <w:rFonts w:ascii="AvantGarde Bk BT" w:hAnsi="AvantGarde Bk BT" w:cs="Arial"/>
          <w:b/>
          <w:color w:val="000000" w:themeColor="text1"/>
          <w:sz w:val="24"/>
          <w:szCs w:val="24"/>
        </w:rPr>
        <w:t>CULTURA</w:t>
      </w:r>
      <w:r w:rsidR="002B06B1">
        <w:rPr>
          <w:rFonts w:ascii="AvantGarde Bk BT" w:hAnsi="AvantGarde Bk BT" w:cs="Arial"/>
          <w:b/>
          <w:color w:val="000000" w:themeColor="text1"/>
          <w:sz w:val="24"/>
          <w:szCs w:val="24"/>
        </w:rPr>
        <w:t>.</w:t>
      </w:r>
    </w:p>
    <w:p w:rsidR="008A7FF4" w:rsidRDefault="008A7FF4" w:rsidP="00C44938">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3512C8">
        <w:rPr>
          <w:rFonts w:ascii="AvantGarde Bk BT" w:hAnsi="AvantGarde Bk BT" w:cs="Arial"/>
          <w:color w:val="000000" w:themeColor="text1"/>
          <w:sz w:val="24"/>
          <w:szCs w:val="24"/>
        </w:rPr>
        <w:t>10 diez de agosto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9F164D">
        <w:rPr>
          <w:rFonts w:ascii="AvantGarde Bk BT" w:hAnsi="AvantGarde Bk BT" w:cs="Arial"/>
          <w:color w:val="000000" w:themeColor="text1"/>
          <w:sz w:val="24"/>
          <w:szCs w:val="24"/>
        </w:rPr>
        <w:t>03 tres de mayo</w:t>
      </w:r>
      <w:r w:rsidR="000B3669">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5674B">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65674B" w:rsidRPr="0065674B">
        <w:rPr>
          <w:rFonts w:ascii="AvantGarde Bk BT" w:hAnsi="AvantGarde Bk BT" w:cs="Arial"/>
          <w:b/>
          <w:color w:val="000000" w:themeColor="text1"/>
          <w:sz w:val="24"/>
          <w:szCs w:val="24"/>
        </w:rPr>
        <w:t xml:space="preserve">SECRETARÍA DE </w:t>
      </w:r>
      <w:r w:rsidR="006C6F83">
        <w:rPr>
          <w:rFonts w:ascii="AvantGarde Bk BT" w:hAnsi="AvantGarde Bk BT" w:cs="Arial"/>
          <w:b/>
          <w:color w:val="000000" w:themeColor="text1"/>
          <w:sz w:val="24"/>
          <w:szCs w:val="24"/>
        </w:rPr>
        <w:t>CULTURA</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8A6B25">
        <w:rPr>
          <w:rFonts w:ascii="AvantGarde Bk BT" w:hAnsi="AvantGarde Bk BT" w:cs="Arial"/>
          <w:color w:val="000000" w:themeColor="text1"/>
          <w:sz w:val="24"/>
          <w:szCs w:val="24"/>
        </w:rPr>
        <w:t>Sistema de Gestión de Medios de Impugnación</w:t>
      </w:r>
      <w:r w:rsidR="000B3669">
        <w:rPr>
          <w:rFonts w:ascii="AvantGarde Bk BT" w:hAnsi="AvantGarde Bk BT" w:cs="Arial"/>
          <w:color w:val="000000" w:themeColor="text1"/>
          <w:sz w:val="24"/>
          <w:szCs w:val="24"/>
        </w:rPr>
        <w:t>, misma que quedó registrada con número de folio 00</w:t>
      </w:r>
      <w:r w:rsidR="00E901FC">
        <w:rPr>
          <w:rFonts w:ascii="AvantGarde Bk BT" w:hAnsi="AvantGarde Bk BT" w:cs="Arial"/>
          <w:color w:val="000000" w:themeColor="text1"/>
          <w:sz w:val="24"/>
          <w:szCs w:val="24"/>
        </w:rPr>
        <w:t>3103</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020321" w:rsidP="000B366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616D60" w:rsidRPr="00616D60">
        <w:rPr>
          <w:rFonts w:ascii="AvantGarde Bk BT" w:hAnsi="AvantGarde Bk BT" w:cs="Arial"/>
          <w:i/>
          <w:color w:val="000000" w:themeColor="text1"/>
          <w:sz w:val="22"/>
          <w:szCs w:val="22"/>
        </w:rPr>
        <w:t xml:space="preserve">Qué revistas impresas y electrónica de divulgación edita, </w:t>
      </w:r>
      <w:proofErr w:type="spellStart"/>
      <w:r w:rsidR="00616D60" w:rsidRPr="00616D60">
        <w:rPr>
          <w:rFonts w:ascii="AvantGarde Bk BT" w:hAnsi="AvantGarde Bk BT" w:cs="Arial"/>
          <w:i/>
          <w:color w:val="000000" w:themeColor="text1"/>
          <w:sz w:val="22"/>
          <w:szCs w:val="22"/>
        </w:rPr>
        <w:t>publica</w:t>
      </w:r>
      <w:proofErr w:type="spellEnd"/>
      <w:r w:rsidR="00616D60" w:rsidRPr="00616D60">
        <w:rPr>
          <w:rFonts w:ascii="AvantGarde Bk BT" w:hAnsi="AvantGarde Bk BT" w:cs="Arial"/>
          <w:i/>
          <w:color w:val="000000" w:themeColor="text1"/>
          <w:sz w:val="22"/>
          <w:szCs w:val="22"/>
        </w:rPr>
        <w:t xml:space="preserve"> o auspicia. Asimismo, requiero precisen su periodicidad, lineamientos editoriales y, en su caso, el número de ejemplares que imprimen.</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A905A1">
        <w:rPr>
          <w:rFonts w:ascii="AvantGarde Bk BT" w:hAnsi="AvantGarde Bk BT" w:cs="Arial"/>
          <w:color w:val="000000" w:themeColor="text1"/>
          <w:sz w:val="24"/>
          <w:szCs w:val="24"/>
        </w:rPr>
        <w:t>02 dos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194123">
        <w:rPr>
          <w:rFonts w:ascii="AvantGarde Bk BT" w:hAnsi="AvantGarde Bk BT" w:cs="Arial"/>
          <w:color w:val="000000" w:themeColor="text1"/>
          <w:sz w:val="24"/>
          <w:szCs w:val="24"/>
        </w:rPr>
        <w:t>11 once de mayo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B81424">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B81424" w:rsidRPr="0065674B">
        <w:rPr>
          <w:rFonts w:ascii="AvantGarde Bk BT" w:hAnsi="AvantGarde Bk BT" w:cs="Arial"/>
          <w:b/>
          <w:color w:val="000000" w:themeColor="text1"/>
          <w:sz w:val="24"/>
          <w:szCs w:val="24"/>
        </w:rPr>
        <w:t xml:space="preserve">SECRETARÍA DE </w:t>
      </w:r>
      <w:r w:rsidR="00194123">
        <w:rPr>
          <w:rFonts w:ascii="AvantGarde Bk BT" w:hAnsi="AvantGarde Bk BT" w:cs="Arial"/>
          <w:b/>
          <w:color w:val="000000" w:themeColor="text1"/>
          <w:sz w:val="24"/>
          <w:szCs w:val="24"/>
        </w:rPr>
        <w:t>CULTURA</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AA2B12" w:rsidRDefault="00AA2B12"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6704" behindDoc="0" locked="0" layoutInCell="1" allowOverlap="1" wp14:anchorId="3B7E8443">
            <wp:simplePos x="0" y="0"/>
            <wp:positionH relativeFrom="column">
              <wp:posOffset>976549</wp:posOffset>
            </wp:positionH>
            <wp:positionV relativeFrom="paragraph">
              <wp:posOffset>22631</wp:posOffset>
            </wp:positionV>
            <wp:extent cx="4844374" cy="5789181"/>
            <wp:effectExtent l="0" t="0" r="0" b="254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5655" t="11746" r="35291" b="26531"/>
                    <a:stretch/>
                  </pic:blipFill>
                  <pic:spPr bwMode="auto">
                    <a:xfrm>
                      <a:off x="0" y="0"/>
                      <a:ext cx="4844374" cy="5789181"/>
                    </a:xfrm>
                    <a:prstGeom prst="rect">
                      <a:avLst/>
                    </a:prstGeom>
                    <a:ln>
                      <a:noFill/>
                    </a:ln>
                    <a:extLst>
                      <a:ext uri="{53640926-AAD7-44D8-BBD7-CCE9431645EC}">
                        <a14:shadowObscured xmlns:a14="http://schemas.microsoft.com/office/drawing/2010/main"/>
                      </a:ext>
                    </a:extLst>
                  </pic:spPr>
                </pic:pic>
              </a:graphicData>
            </a:graphic>
          </wp:anchor>
        </w:drawing>
      </w: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D10F21" w:rsidRDefault="00D10F21" w:rsidP="00D0740D">
      <w:pPr>
        <w:pStyle w:val="corte4fondo"/>
        <w:tabs>
          <w:tab w:val="left" w:pos="567"/>
        </w:tabs>
        <w:ind w:left="680" w:firstLine="0"/>
        <w:rPr>
          <w:rFonts w:ascii="AvantGarde Bk BT" w:hAnsi="AvantGarde Bk BT" w:cs="Arial"/>
          <w:color w:val="000000" w:themeColor="text1"/>
          <w:sz w:val="24"/>
          <w:szCs w:val="24"/>
        </w:rPr>
      </w:pP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D10F21" w:rsidRDefault="00D10F21"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D10F21">
        <w:rPr>
          <w:rFonts w:ascii="AvantGarde Bk BT" w:hAnsi="AvantGarde Bk BT" w:cs="Arial"/>
          <w:color w:val="000000" w:themeColor="text1"/>
          <w:sz w:val="24"/>
          <w:szCs w:val="24"/>
        </w:rPr>
        <w:t>17 diecisiete de mayo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Default="005A648D" w:rsidP="005A648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016AB2">
        <w:rPr>
          <w:rFonts w:ascii="AvantGarde Bk BT" w:hAnsi="AvantGarde Bk BT" w:cs="Arial"/>
          <w:i/>
          <w:color w:val="000000" w:themeColor="text1"/>
          <w:sz w:val="22"/>
          <w:szCs w:val="22"/>
        </w:rPr>
        <w:t>No me fue entregada la información. Considero que el sujeto obligado no hizo una búsqueda completa</w:t>
      </w:r>
      <w:r w:rsidR="00F43F0B">
        <w:rPr>
          <w:rFonts w:ascii="AvantGarde Bk BT" w:hAnsi="AvantGarde Bk BT" w:cs="Arial"/>
          <w:i/>
          <w:color w:val="000000" w:themeColor="text1"/>
          <w:sz w:val="22"/>
          <w:szCs w:val="22"/>
        </w:rPr>
        <w:t xml:space="preserve">, ya que la Ley de Cultura para el Estado y Municipios de SLP, artículo X fracción VII señala que es obligación de la Secretaría de Cultura la de apoyar las actividades de investigación, reflexión, formación, capacitación y divulgación relativas a la cultura y vinculadas a los diversos sectores sociales que </w:t>
      </w:r>
      <w:r w:rsidR="00F43F0B">
        <w:rPr>
          <w:rFonts w:ascii="AvantGarde Bk BT" w:hAnsi="AvantGarde Bk BT" w:cs="Arial"/>
          <w:i/>
          <w:color w:val="000000" w:themeColor="text1"/>
          <w:sz w:val="22"/>
          <w:szCs w:val="22"/>
        </w:rPr>
        <w:lastRenderedPageBreak/>
        <w:t>intervienen en su ejecución. Y fracción XX que establece la obligación de fomentar la lectura a través de publicaciones gratuitas y no gratuitas que tengan como finalidad tanto la divulgación de la cultura y el arte, como el acercamiento al libro y la lectura de la población en general. Estas obligaciones las pudiera cumplir la SECULT a través de la publicación de revistas</w:t>
      </w:r>
      <w:r w:rsidR="00016AB2">
        <w:rPr>
          <w:rFonts w:ascii="AvantGarde Bk BT" w:hAnsi="AvantGarde Bk BT" w:cs="Arial"/>
          <w:i/>
          <w:color w:val="000000" w:themeColor="text1"/>
          <w:sz w:val="22"/>
          <w:szCs w:val="22"/>
        </w:rPr>
        <w:t xml:space="preserve">… </w:t>
      </w:r>
      <w:r>
        <w:rPr>
          <w:rFonts w:ascii="AvantGarde Bk BT" w:hAnsi="AvantGarde Bk BT" w:cs="Arial"/>
          <w:color w:val="000000" w:themeColor="text1"/>
          <w:sz w:val="24"/>
          <w:szCs w:val="24"/>
        </w:rPr>
        <w:t xml:space="preserve">” </w:t>
      </w:r>
      <w:r w:rsidRPr="00016AB2">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7665CC">
        <w:rPr>
          <w:rFonts w:ascii="AvantGarde Bk BT" w:hAnsi="AvantGarde Bk BT" w:cs="Arial"/>
          <w:color w:val="000000" w:themeColor="text1"/>
          <w:sz w:val="24"/>
          <w:szCs w:val="24"/>
        </w:rPr>
        <w:t>18 dieciocho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835BB1">
        <w:rPr>
          <w:rFonts w:ascii="AvantGarde Bk BT" w:hAnsi="AvantGarde Bk BT" w:cs="Arial"/>
          <w:color w:val="000000" w:themeColor="text1"/>
          <w:sz w:val="24"/>
          <w:szCs w:val="24"/>
        </w:rPr>
        <w:t>23 veintitrés</w:t>
      </w:r>
      <w:r w:rsidR="00717216">
        <w:rPr>
          <w:rFonts w:ascii="AvantGarde Bk BT" w:hAnsi="AvantGarde Bk BT" w:cs="Arial"/>
          <w:color w:val="000000" w:themeColor="text1"/>
          <w:sz w:val="24"/>
          <w:szCs w:val="24"/>
        </w:rPr>
        <w:t xml:space="preserve">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57063B">
        <w:rPr>
          <w:rFonts w:ascii="AvantGarde Bk BT" w:hAnsi="AvantGarde Bk BT" w:cs="Arial"/>
          <w:color w:val="000000" w:themeColor="text1"/>
          <w:sz w:val="24"/>
          <w:szCs w:val="24"/>
        </w:rPr>
        <w:t>I</w:t>
      </w:r>
      <w:r w:rsidR="00FC1B8C">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w:t>
      </w:r>
      <w:r w:rsidR="006D6203">
        <w:rPr>
          <w:rFonts w:ascii="AvantGarde Bk BT" w:hAnsi="AvantGarde Bk BT" w:cs="Arial"/>
          <w:b/>
          <w:color w:val="000000" w:themeColor="text1"/>
          <w:sz w:val="24"/>
          <w:szCs w:val="24"/>
        </w:rPr>
        <w:t>79</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6D6203">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717216">
        <w:rPr>
          <w:rFonts w:ascii="AvantGarde Bk BT" w:hAnsi="AvantGarde Bk BT" w:cs="Arial"/>
          <w:b/>
          <w:color w:val="000000" w:themeColor="text1"/>
          <w:sz w:val="24"/>
          <w:szCs w:val="24"/>
        </w:rPr>
        <w:t xml:space="preserve">SECRETARÍA DE </w:t>
      </w:r>
      <w:r w:rsidR="006D6203">
        <w:rPr>
          <w:rFonts w:ascii="AvantGarde Bk BT" w:hAnsi="AvantGarde Bk BT" w:cs="Arial"/>
          <w:b/>
          <w:color w:val="000000" w:themeColor="text1"/>
          <w:sz w:val="24"/>
          <w:szCs w:val="24"/>
        </w:rPr>
        <w:t>CULTURA DE GOBIERNO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5E44A3">
        <w:rPr>
          <w:rFonts w:ascii="AvantGarde Bk BT" w:hAnsi="AvantGarde Bk BT" w:cs="Arial"/>
          <w:color w:val="000000" w:themeColor="text1"/>
          <w:sz w:val="24"/>
          <w:szCs w:val="24"/>
        </w:rPr>
        <w:t>07 siete</w:t>
      </w:r>
      <w:r w:rsidR="00CA795F">
        <w:rPr>
          <w:rFonts w:ascii="AvantGarde Bk BT" w:hAnsi="AvantGarde Bk BT" w:cs="Arial"/>
          <w:color w:val="000000" w:themeColor="text1"/>
          <w:sz w:val="24"/>
          <w:szCs w:val="24"/>
        </w:rPr>
        <w:t xml:space="preserve">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5E44A3">
        <w:rPr>
          <w:rFonts w:ascii="AvantGarde Bk BT" w:hAnsi="AvantGarde Bk BT" w:cs="Arial"/>
          <w:color w:val="000000" w:themeColor="text1"/>
          <w:sz w:val="24"/>
          <w:szCs w:val="24"/>
        </w:rPr>
        <w:t>119</w:t>
      </w:r>
      <w:r w:rsidR="005E6860">
        <w:rPr>
          <w:rFonts w:ascii="AvantGarde Bk BT" w:hAnsi="AvantGarde Bk BT" w:cs="Arial"/>
          <w:color w:val="000000" w:themeColor="text1"/>
          <w:sz w:val="24"/>
          <w:szCs w:val="24"/>
        </w:rPr>
        <w:t>/2018</w:t>
      </w:r>
      <w:r w:rsidR="005E44A3">
        <w:rPr>
          <w:rFonts w:ascii="AvantGarde Bk BT" w:hAnsi="AvantGarde Bk BT" w:cs="Arial"/>
          <w:color w:val="000000" w:themeColor="text1"/>
          <w:sz w:val="24"/>
          <w:szCs w:val="24"/>
        </w:rPr>
        <w:t xml:space="preserve"> con 02 dos anexos</w:t>
      </w:r>
      <w:r w:rsidR="004D1715">
        <w:rPr>
          <w:rFonts w:ascii="AvantGarde Bk BT" w:hAnsi="AvantGarde Bk BT" w:cs="Arial"/>
          <w:color w:val="000000" w:themeColor="text1"/>
          <w:sz w:val="24"/>
          <w:szCs w:val="24"/>
        </w:rPr>
        <w:t xml:space="preserve">, </w:t>
      </w:r>
      <w:r w:rsidR="00927BD8" w:rsidRPr="009B1109">
        <w:rPr>
          <w:rFonts w:ascii="AvantGarde Bk BT" w:hAnsi="AvantGarde Bk BT" w:cs="Arial"/>
          <w:color w:val="000000" w:themeColor="text1"/>
          <w:sz w:val="24"/>
          <w:szCs w:val="24"/>
        </w:rPr>
        <w:t xml:space="preserve">signado por </w:t>
      </w:r>
      <w:r w:rsidR="00331AE5">
        <w:rPr>
          <w:rFonts w:ascii="AvantGarde Bk BT" w:hAnsi="AvantGarde Bk BT" w:cs="Arial"/>
          <w:color w:val="000000" w:themeColor="text1"/>
          <w:sz w:val="24"/>
          <w:szCs w:val="24"/>
        </w:rPr>
        <w:t>el Jefe</w:t>
      </w:r>
      <w:r w:rsidR="005D675B" w:rsidRPr="0008758B">
        <w:rPr>
          <w:rFonts w:ascii="AvantGarde Bk BT" w:hAnsi="AvantGarde Bk BT" w:cs="Arial"/>
          <w:color w:val="000000" w:themeColor="text1"/>
          <w:sz w:val="24"/>
          <w:szCs w:val="24"/>
        </w:rPr>
        <w:t xml:space="preserve"> de la Unidad de Transparencia </w:t>
      </w:r>
      <w:r w:rsidR="004D1715">
        <w:rPr>
          <w:rFonts w:ascii="AvantGarde Bk BT" w:hAnsi="AvantGarde Bk BT" w:cs="Arial"/>
          <w:color w:val="000000" w:themeColor="text1"/>
          <w:sz w:val="24"/>
          <w:szCs w:val="24"/>
        </w:rPr>
        <w:t xml:space="preserve">del </w:t>
      </w:r>
      <w:r w:rsidR="005E44A3">
        <w:rPr>
          <w:rFonts w:ascii="AvantGarde Bk BT" w:hAnsi="AvantGarde Bk BT" w:cs="Arial"/>
          <w:color w:val="000000" w:themeColor="text1"/>
          <w:sz w:val="24"/>
          <w:szCs w:val="24"/>
        </w:rPr>
        <w:t>sujeto obligado.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 xml:space="preserve">derecho convino y </w:t>
      </w:r>
      <w:r w:rsidR="00077696">
        <w:rPr>
          <w:rFonts w:ascii="AvantGarde Bk BT" w:hAnsi="AvantGarde Bk BT" w:cs="Arial"/>
          <w:color w:val="000000" w:themeColor="text1"/>
          <w:sz w:val="24"/>
          <w:szCs w:val="24"/>
        </w:rPr>
        <w:t>por presentadas pruebas</w:t>
      </w:r>
      <w:r>
        <w:rPr>
          <w:rFonts w:ascii="AvantGarde Bk BT" w:hAnsi="AvantGarde Bk BT" w:cs="Arial"/>
          <w:color w:val="000000" w:themeColor="text1"/>
          <w:sz w:val="24"/>
          <w:szCs w:val="24"/>
        </w:rPr>
        <w:t>.</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2E4049" w:rsidRDefault="002E4049" w:rsidP="002E4049">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37CF7" w:rsidRDefault="00C37CF7" w:rsidP="00C37CF7">
      <w:pPr>
        <w:pStyle w:val="corte4fondo"/>
        <w:tabs>
          <w:tab w:val="left" w:pos="567"/>
        </w:tabs>
        <w:rPr>
          <w:rFonts w:ascii="AvantGarde Bk BT" w:hAnsi="AvantGarde Bk BT" w:cs="Arial"/>
          <w:color w:val="000000" w:themeColor="text1"/>
          <w:sz w:val="24"/>
          <w:szCs w:val="24"/>
        </w:rPr>
      </w:pPr>
    </w:p>
    <w:p w:rsidR="00E913C5" w:rsidRDefault="00E90399" w:rsidP="008D1A01">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Asimismo, mediante auto del </w:t>
      </w:r>
      <w:r w:rsidR="002E4049">
        <w:rPr>
          <w:rFonts w:ascii="AvantGarde Bk BT" w:hAnsi="AvantGarde Bk BT" w:cs="Arial"/>
          <w:color w:val="000000" w:themeColor="text1"/>
          <w:sz w:val="24"/>
          <w:szCs w:val="24"/>
        </w:rPr>
        <w:t>27 veintisiete</w:t>
      </w:r>
      <w:r>
        <w:rPr>
          <w:rFonts w:ascii="AvantGarde Bk BT" w:hAnsi="AvantGarde Bk BT" w:cs="Arial"/>
          <w:color w:val="000000" w:themeColor="text1"/>
          <w:sz w:val="24"/>
          <w:szCs w:val="24"/>
        </w:rPr>
        <w:t xml:space="preserve"> de junio de 2018 dos mil dieciocho el ponente decretó la ampliación del plazo para resolver este recurso.</w:t>
      </w:r>
    </w:p>
    <w:p w:rsidR="00120FDE" w:rsidRDefault="00120FDE" w:rsidP="00C37CF7">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fracción </w:t>
      </w:r>
      <w:r w:rsidR="00833AE5">
        <w:rPr>
          <w:rFonts w:ascii="AvantGarde Bk BT" w:hAnsi="AvantGarde Bk BT" w:cs="Arial"/>
          <w:color w:val="000000" w:themeColor="text1"/>
          <w:sz w:val="24"/>
          <w:szCs w:val="24"/>
        </w:rPr>
        <w:t>I</w:t>
      </w:r>
      <w:r w:rsidR="007C31AD">
        <w:rPr>
          <w:rFonts w:ascii="AvantGarde Bk BT" w:hAnsi="AvantGarde Bk BT" w:cs="Arial"/>
          <w:color w:val="000000" w:themeColor="text1"/>
          <w:sz w:val="24"/>
          <w:szCs w:val="24"/>
        </w:rPr>
        <w:t xml:space="preserve">V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sidRPr="0036450D">
        <w:rPr>
          <w:rFonts w:ascii="AvantGarde Bk BT" w:hAnsi="AvantGarde Bk BT" w:cs="Arial"/>
          <w:b/>
          <w:color w:val="000000" w:themeColor="text1"/>
          <w:sz w:val="24"/>
          <w:szCs w:val="24"/>
        </w:rPr>
        <w:t>CUARTO</w:t>
      </w:r>
      <w:r w:rsidR="00E215D2" w:rsidRPr="0036450D">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7E5DBB">
        <w:rPr>
          <w:rFonts w:ascii="AvantGarde Bk BT" w:hAnsi="AvantGarde Bk BT" w:cs="Arial"/>
          <w:color w:val="000000" w:themeColor="text1"/>
          <w:sz w:val="24"/>
          <w:szCs w:val="24"/>
        </w:rPr>
        <w:t>11 once</w:t>
      </w:r>
      <w:r w:rsidR="0036450D">
        <w:rPr>
          <w:rFonts w:ascii="AvantGarde Bk BT" w:hAnsi="AvantGarde Bk BT" w:cs="Arial"/>
          <w:color w:val="000000" w:themeColor="text1"/>
          <w:sz w:val="24"/>
          <w:szCs w:val="24"/>
        </w:rPr>
        <w:t xml:space="preserve"> de mayo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5F4058">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w:t>
      </w:r>
      <w:r w:rsidR="005F4058">
        <w:rPr>
          <w:rFonts w:ascii="AvantGarde Bk BT" w:hAnsi="AvantGarde Bk BT" w:cs="Arial"/>
          <w:color w:val="000000" w:themeColor="text1"/>
          <w:sz w:val="24"/>
          <w:szCs w:val="24"/>
        </w:rPr>
        <w:t>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Por lo tanto, el plazo de los quince días hábiles para interponer el recurso de revisión transcurrió del </w:t>
      </w:r>
      <w:r w:rsidR="00856BF6">
        <w:rPr>
          <w:rFonts w:ascii="AvantGarde Bk BT" w:hAnsi="AvantGarde Bk BT" w:cs="Arial"/>
          <w:color w:val="000000" w:themeColor="text1"/>
          <w:sz w:val="24"/>
          <w:szCs w:val="24"/>
        </w:rPr>
        <w:t xml:space="preserve">14 catorce de mayo al 01 uno </w:t>
      </w:r>
      <w:r w:rsidR="000362FB">
        <w:rPr>
          <w:rFonts w:ascii="AvantGarde Bk BT" w:hAnsi="AvantGarde Bk BT" w:cs="Arial"/>
          <w:color w:val="000000" w:themeColor="text1"/>
          <w:sz w:val="24"/>
          <w:szCs w:val="24"/>
        </w:rPr>
        <w:t>de junio</w:t>
      </w:r>
      <w:r w:rsidR="00630546">
        <w:rPr>
          <w:rFonts w:ascii="AvantGarde Bk BT" w:hAnsi="AvantGarde Bk BT" w:cs="Arial"/>
          <w:color w:val="000000" w:themeColor="text1"/>
          <w:sz w:val="24"/>
          <w:szCs w:val="24"/>
        </w:rPr>
        <w:t xml:space="preserve"> al 18 dieciocho de mayo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B55A6F">
        <w:rPr>
          <w:rFonts w:ascii="AvantGarde Bk BT" w:hAnsi="AvantGarde Bk BT" w:cs="Arial"/>
          <w:color w:val="000000" w:themeColor="text1"/>
          <w:sz w:val="24"/>
          <w:szCs w:val="24"/>
        </w:rPr>
        <w:t>19 diecinueve, 20 veinte, 26 veintiséis y 27 veintisiete</w:t>
      </w:r>
      <w:r w:rsidR="00630546">
        <w:rPr>
          <w:rFonts w:ascii="AvantGarde Bk BT" w:hAnsi="AvantGarde Bk BT" w:cs="Arial"/>
          <w:color w:val="000000" w:themeColor="text1"/>
          <w:sz w:val="24"/>
          <w:szCs w:val="24"/>
        </w:rPr>
        <w:t xml:space="preserve"> de mayo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E60FB">
        <w:rPr>
          <w:rFonts w:ascii="AvantGarde Bk BT" w:hAnsi="AvantGarde Bk BT" w:cs="Arial"/>
          <w:color w:val="000000" w:themeColor="text1"/>
          <w:sz w:val="24"/>
          <w:szCs w:val="24"/>
        </w:rPr>
        <w:t>17 diecisiete</w:t>
      </w:r>
      <w:r w:rsidR="00630546">
        <w:rPr>
          <w:rFonts w:ascii="AvantGarde Bk BT" w:hAnsi="AvantGarde Bk BT" w:cs="Arial"/>
          <w:color w:val="000000" w:themeColor="text1"/>
          <w:sz w:val="24"/>
          <w:szCs w:val="24"/>
        </w:rPr>
        <w:t xml:space="preserve"> de mayo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32076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w:t>
      </w:r>
    </w:p>
    <w:p w:rsidR="00320762" w:rsidRDefault="00320762" w:rsidP="00E215D2">
      <w:pPr>
        <w:pStyle w:val="corte4fondo"/>
        <w:tabs>
          <w:tab w:val="left" w:pos="567"/>
        </w:tabs>
        <w:ind w:firstLine="0"/>
        <w:rPr>
          <w:rFonts w:ascii="AvantGarde Bk BT" w:hAnsi="AvantGarde Bk BT" w:cs="Arial"/>
          <w:color w:val="000000" w:themeColor="text1"/>
          <w:sz w:val="24"/>
          <w:szCs w:val="24"/>
        </w:rPr>
      </w:pPr>
    </w:p>
    <w:p w:rsidR="00320762" w:rsidRDefault="00320762" w:rsidP="0032076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en el informe que rindió el sujeto obligado</w:t>
      </w:r>
      <w:r w:rsidR="00E60FA6">
        <w:rPr>
          <w:rFonts w:ascii="AvantGarde Bk BT" w:hAnsi="AvantGarde Bk BT" w:cs="Arial"/>
          <w:color w:val="000000" w:themeColor="text1"/>
          <w:sz w:val="24"/>
          <w:szCs w:val="24"/>
        </w:rPr>
        <w:t xml:space="preserve"> éste manifestó que la admisión de este recurso resulta improcedente</w:t>
      </w:r>
      <w:r w:rsidR="004842A7">
        <w:rPr>
          <w:rFonts w:ascii="AvantGarde Bk BT" w:hAnsi="AvantGarde Bk BT" w:cs="Arial"/>
          <w:color w:val="000000" w:themeColor="text1"/>
          <w:sz w:val="24"/>
          <w:szCs w:val="24"/>
        </w:rPr>
        <w:t xml:space="preserve"> en razón </w:t>
      </w:r>
      <w:r w:rsidR="003D0A53">
        <w:rPr>
          <w:rFonts w:ascii="AvantGarde Bk BT" w:hAnsi="AvantGarde Bk BT" w:cs="Arial"/>
          <w:color w:val="000000" w:themeColor="text1"/>
          <w:sz w:val="24"/>
          <w:szCs w:val="24"/>
        </w:rPr>
        <w:t>d</w:t>
      </w:r>
      <w:r w:rsidR="004842A7">
        <w:rPr>
          <w:rFonts w:ascii="AvantGarde Bk BT" w:hAnsi="AvantGarde Bk BT" w:cs="Arial"/>
          <w:color w:val="000000" w:themeColor="text1"/>
          <w:sz w:val="24"/>
          <w:szCs w:val="24"/>
        </w:rPr>
        <w:t>e que el quejoso se duele de que no le fue entregada la información, esto es la omisión de respuesta, y no de que la respuesta fue incompleta, que fue la hipótesis por la que se admitió el mismo, por lo que se debió requerir al peticionario para que señalara de manera clara y precisa  el motivo de su inconformidad.</w:t>
      </w:r>
    </w:p>
    <w:p w:rsidR="004842A7" w:rsidRDefault="004842A7" w:rsidP="00320762">
      <w:pPr>
        <w:pStyle w:val="corte4fondo"/>
        <w:tabs>
          <w:tab w:val="left" w:pos="567"/>
        </w:tabs>
        <w:ind w:firstLine="680"/>
        <w:rPr>
          <w:rFonts w:ascii="AvantGarde Bk BT" w:hAnsi="AvantGarde Bk BT" w:cs="Arial"/>
          <w:color w:val="000000" w:themeColor="text1"/>
          <w:sz w:val="24"/>
          <w:szCs w:val="24"/>
        </w:rPr>
      </w:pPr>
    </w:p>
    <w:p w:rsidR="00FB682A" w:rsidRDefault="00EA60FB" w:rsidP="00FB682A">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Cabe recordar que la inconformidad del hoy recurrente es en el siguiente sentido:</w:t>
      </w:r>
      <w:r w:rsidR="00FB682A">
        <w:rPr>
          <w:rFonts w:ascii="AvantGarde Bk BT" w:hAnsi="AvantGarde Bk BT" w:cs="Arial"/>
          <w:color w:val="000000" w:themeColor="text1"/>
          <w:sz w:val="24"/>
          <w:szCs w:val="24"/>
        </w:rPr>
        <w:t xml:space="preserve"> “</w:t>
      </w:r>
      <w:r w:rsidR="00FB682A">
        <w:rPr>
          <w:rFonts w:ascii="AvantGarde Bk BT" w:hAnsi="AvantGarde Bk BT" w:cs="Arial"/>
          <w:i/>
          <w:color w:val="000000" w:themeColor="text1"/>
          <w:sz w:val="22"/>
          <w:szCs w:val="22"/>
        </w:rPr>
        <w:t>No me fue entregada la información. Considero que el sujeto obligado no hizo una búsqueda completa, ya que la Ley de Cultura para el Estado y Municipios de SLP, artículo X fracción VII señala que es obligación de la Secretaría de Cultura la de apoyar las actividades de investigación, reflexión, formación, capacitación y divulgación relativas a la cultura y vinculadas a los diversos sectores sociales que intervienen en su ejecución. Y fracción XX que establece la obligación de fomentar la lectura a través de publicaciones gratuitas y no gratuitas que tengan como finalidad tanto la divulgación de la cultura y el arte, como el acercamiento al libro y la lectura de la población en general. Estas obligaciones las pudiera cumplir la SECULT a través de la publicación de revistas…”</w:t>
      </w:r>
      <w:r w:rsidR="00153E3F">
        <w:rPr>
          <w:rFonts w:ascii="AvantGarde Bk BT" w:hAnsi="AvantGarde Bk BT" w:cs="Arial"/>
          <w:i/>
          <w:color w:val="000000" w:themeColor="text1"/>
          <w:sz w:val="22"/>
          <w:szCs w:val="22"/>
        </w:rPr>
        <w:t>.</w:t>
      </w:r>
    </w:p>
    <w:p w:rsidR="00EA60FB" w:rsidRDefault="00EA60FB" w:rsidP="00320762">
      <w:pPr>
        <w:pStyle w:val="corte4fondo"/>
        <w:tabs>
          <w:tab w:val="left" w:pos="567"/>
        </w:tabs>
        <w:ind w:firstLine="680"/>
        <w:rPr>
          <w:rFonts w:ascii="AvantGarde Bk BT" w:hAnsi="AvantGarde Bk BT" w:cs="Arial"/>
          <w:color w:val="000000" w:themeColor="text1"/>
          <w:sz w:val="24"/>
          <w:szCs w:val="24"/>
        </w:rPr>
      </w:pPr>
    </w:p>
    <w:p w:rsidR="004842A7" w:rsidRDefault="00153E3F" w:rsidP="0032076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Al respecto, </w:t>
      </w:r>
      <w:r w:rsidR="00246414">
        <w:rPr>
          <w:rFonts w:ascii="AvantGarde Bk BT" w:hAnsi="AvantGarde Bk BT" w:cs="Arial"/>
          <w:color w:val="000000" w:themeColor="text1"/>
          <w:sz w:val="24"/>
          <w:szCs w:val="24"/>
        </w:rPr>
        <w:t xml:space="preserve">debe mencionarse que contrario a lo que aduce la autoridad, la admisión del recurso sí es procedente, toda vez que </w:t>
      </w:r>
      <w:r>
        <w:rPr>
          <w:rFonts w:ascii="AvantGarde Bk BT" w:hAnsi="AvantGarde Bk BT" w:cs="Arial"/>
          <w:color w:val="000000" w:themeColor="text1"/>
          <w:sz w:val="24"/>
          <w:szCs w:val="24"/>
        </w:rPr>
        <w:t>del análisis</w:t>
      </w:r>
      <w:r w:rsidR="00E10196">
        <w:rPr>
          <w:rFonts w:ascii="AvantGarde Bk BT" w:hAnsi="AvantGarde Bk BT" w:cs="Arial"/>
          <w:color w:val="000000" w:themeColor="text1"/>
          <w:sz w:val="24"/>
          <w:szCs w:val="24"/>
        </w:rPr>
        <w:t xml:space="preserve"> integral de lo solicitado, de la respuesta otorgada y de las manifestaciones de inconformidad vertidas por el particular, en el presente caso se tiene que al haber recaído a su solicitud una respuesta en el sentido de que la Secretaría no publica ninguna revista, sin que el sujeto obligado acompañara a dicha respuesta documento alguno con el que acreditara haber realizado una búsqueda de la información y que el resultado de la misma fuera negativa, circunstancia por la cual, al referir el recurrente que no le fue entregada la información, es evidente que no se refiere a una falta de respuesta, sino a una respuesta incompleta, ya que como él mismo lo señala, considera que el sujeto obligado no realizó una búsqueda completa, actuar al que esta Comisión hace referencia en el Considerando Quinto de esta resolución.</w:t>
      </w:r>
    </w:p>
    <w:p w:rsidR="00320762" w:rsidRDefault="00320762" w:rsidP="00E215D2">
      <w:pPr>
        <w:pStyle w:val="corte4fondo"/>
        <w:tabs>
          <w:tab w:val="left" w:pos="567"/>
        </w:tabs>
        <w:ind w:firstLine="0"/>
        <w:rPr>
          <w:rFonts w:ascii="AvantGarde Bk BT" w:hAnsi="AvantGarde Bk BT" w:cs="Arial"/>
          <w:color w:val="000000" w:themeColor="text1"/>
          <w:sz w:val="24"/>
          <w:szCs w:val="24"/>
        </w:rPr>
      </w:pPr>
    </w:p>
    <w:p w:rsidR="00E215D2" w:rsidRDefault="003443E8" w:rsidP="003443E8">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Anotado lo anterior, y al</w:t>
      </w:r>
      <w:r w:rsidR="00E215D2" w:rsidRPr="007C5605">
        <w:rPr>
          <w:rFonts w:ascii="AvantGarde Bk BT" w:hAnsi="AvantGarde Bk BT" w:cs="Arial"/>
          <w:color w:val="000000" w:themeColor="text1"/>
          <w:sz w:val="24"/>
          <w:szCs w:val="24"/>
        </w:rPr>
        <w:t xml:space="preserve"> no existir </w:t>
      </w:r>
      <w:r>
        <w:rPr>
          <w:rFonts w:ascii="AvantGarde Bk BT" w:hAnsi="AvantGarde Bk BT" w:cs="Arial"/>
          <w:color w:val="000000" w:themeColor="text1"/>
          <w:sz w:val="24"/>
          <w:szCs w:val="24"/>
        </w:rPr>
        <w:t xml:space="preserve">otra </w:t>
      </w:r>
      <w:r w:rsidR="00E215D2" w:rsidRPr="007C5605">
        <w:rPr>
          <w:rFonts w:ascii="AvantGarde Bk BT" w:hAnsi="AvantGarde Bk BT" w:cs="Arial"/>
          <w:color w:val="000000" w:themeColor="text1"/>
          <w:sz w:val="24"/>
          <w:szCs w:val="24"/>
        </w:rPr>
        <w:t>causa de improcedencia</w:t>
      </w:r>
      <w:r>
        <w:rPr>
          <w:rFonts w:ascii="AvantGarde Bk BT" w:hAnsi="AvantGarde Bk BT" w:cs="Arial"/>
          <w:color w:val="000000" w:themeColor="text1"/>
          <w:sz w:val="24"/>
          <w:szCs w:val="24"/>
        </w:rPr>
        <w:t xml:space="preserve"> señalada por la autoridad o</w:t>
      </w:r>
      <w:r w:rsidR="00E215D2" w:rsidRPr="007C5605">
        <w:rPr>
          <w:rFonts w:ascii="AvantGarde Bk BT" w:hAnsi="AvantGarde Bk BT" w:cs="Arial"/>
          <w:color w:val="000000" w:themeColor="text1"/>
          <w:sz w:val="24"/>
          <w:szCs w:val="24"/>
        </w:rPr>
        <w:t xml:space="preserve"> advertida por este órgano colegiado se analiza</w:t>
      </w:r>
      <w:r w:rsidR="004E4A15">
        <w:rPr>
          <w:rFonts w:ascii="AvantGarde Bk BT" w:hAnsi="AvantGarde Bk BT" w:cs="Arial"/>
          <w:color w:val="000000" w:themeColor="text1"/>
          <w:sz w:val="24"/>
          <w:szCs w:val="24"/>
        </w:rPr>
        <w:t xml:space="preserve"> a continuación</w:t>
      </w:r>
      <w:r w:rsidR="00E215D2" w:rsidRPr="007C5605">
        <w:rPr>
          <w:rFonts w:ascii="AvantGarde Bk BT" w:hAnsi="AvantGarde Bk BT" w:cs="Arial"/>
          <w:color w:val="000000" w:themeColor="text1"/>
          <w:sz w:val="24"/>
          <w:szCs w:val="24"/>
        </w:rPr>
        <w:t xml:space="preserve"> el </w:t>
      </w:r>
      <w:r w:rsidR="004E4A15">
        <w:rPr>
          <w:rFonts w:ascii="AvantGarde Bk BT" w:hAnsi="AvantGarde Bk BT" w:cs="Arial"/>
          <w:color w:val="000000" w:themeColor="text1"/>
          <w:sz w:val="24"/>
          <w:szCs w:val="24"/>
        </w:rPr>
        <w:t>sobreseimiento</w:t>
      </w:r>
      <w:r w:rsidR="00E215D2" w:rsidRPr="007C5605">
        <w:rPr>
          <w:rFonts w:ascii="AvantGarde Bk BT" w:hAnsi="AvantGarde Bk BT" w:cs="Arial"/>
          <w:color w:val="000000" w:themeColor="text1"/>
          <w:sz w:val="24"/>
          <w:szCs w:val="24"/>
        </w:rPr>
        <w:t xml:space="preserve">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b/>
          <w:color w:val="000000" w:themeColor="text1"/>
          <w:sz w:val="24"/>
          <w:szCs w:val="24"/>
        </w:rPr>
        <w:t xml:space="preserve">QUINTO. Sobreseimiento. </w:t>
      </w:r>
      <w:r w:rsidRPr="00A424B0">
        <w:rPr>
          <w:rFonts w:ascii="AvantGarde Bk BT" w:hAnsi="AvantGarde Bk BT" w:cs="Arial"/>
          <w:color w:val="000000" w:themeColor="text1"/>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7655BD" w:rsidRDefault="00A424B0" w:rsidP="007655BD">
      <w:pPr>
        <w:pStyle w:val="corte4fondo"/>
        <w:tabs>
          <w:tab w:val="left" w:pos="567"/>
        </w:tabs>
        <w:ind w:left="680" w:firstLine="0"/>
        <w:rPr>
          <w:rFonts w:ascii="AvantGarde Bk BT" w:hAnsi="AvantGarde Bk BT" w:cs="Arial"/>
          <w:i/>
          <w:color w:val="000000" w:themeColor="text1"/>
          <w:sz w:val="22"/>
          <w:szCs w:val="22"/>
        </w:rPr>
      </w:pPr>
      <w:r w:rsidRPr="007655BD">
        <w:rPr>
          <w:rFonts w:ascii="AvantGarde Bk BT" w:hAnsi="AvantGarde Bk BT" w:cs="Arial"/>
          <w:color w:val="000000" w:themeColor="text1"/>
          <w:sz w:val="24"/>
          <w:szCs w:val="24"/>
        </w:rPr>
        <w:t>“</w:t>
      </w:r>
      <w:r w:rsidRPr="007655BD">
        <w:rPr>
          <w:rFonts w:ascii="AvantGarde Bk BT" w:hAnsi="AvantGarde Bk BT" w:cs="Arial"/>
          <w:b/>
          <w:i/>
          <w:color w:val="000000" w:themeColor="text1"/>
          <w:sz w:val="22"/>
          <w:szCs w:val="22"/>
        </w:rPr>
        <w:t xml:space="preserve">ARTÍCULO 180. </w:t>
      </w:r>
      <w:r w:rsidRPr="007655BD">
        <w:rPr>
          <w:rFonts w:ascii="AvantGarde Bk BT" w:hAnsi="AvantGarde Bk BT" w:cs="Arial"/>
          <w:i/>
          <w:color w:val="000000" w:themeColor="text1"/>
          <w:sz w:val="22"/>
          <w:szCs w:val="22"/>
        </w:rPr>
        <w:t>El recurso será sobreseído, en todo o en parte, cuando, una vez admitido, se actualicen alguno de los siguientes supuestos:</w:t>
      </w:r>
    </w:p>
    <w:p w:rsidR="00A424B0" w:rsidRPr="007655BD" w:rsidRDefault="00A424B0" w:rsidP="007655BD">
      <w:pPr>
        <w:pStyle w:val="corte4fondo"/>
        <w:tabs>
          <w:tab w:val="left" w:pos="567"/>
        </w:tabs>
        <w:ind w:left="680" w:firstLine="0"/>
        <w:rPr>
          <w:rFonts w:ascii="AvantGarde Bk BT" w:hAnsi="AvantGarde Bk BT" w:cs="Arial"/>
          <w:i/>
          <w:color w:val="000000" w:themeColor="text1"/>
          <w:sz w:val="22"/>
          <w:szCs w:val="22"/>
        </w:rPr>
      </w:pPr>
      <w:r w:rsidRPr="007655BD">
        <w:rPr>
          <w:rFonts w:ascii="AvantGarde Bk BT" w:hAnsi="AvantGarde Bk BT" w:cs="Arial"/>
          <w:i/>
          <w:color w:val="000000" w:themeColor="text1"/>
          <w:sz w:val="22"/>
          <w:szCs w:val="22"/>
        </w:rPr>
        <w:t>I. El recurrente se desista;</w:t>
      </w:r>
    </w:p>
    <w:p w:rsidR="00A424B0" w:rsidRPr="007655BD" w:rsidRDefault="00A424B0" w:rsidP="007655BD">
      <w:pPr>
        <w:pStyle w:val="corte4fondo"/>
        <w:tabs>
          <w:tab w:val="left" w:pos="567"/>
        </w:tabs>
        <w:ind w:left="680" w:firstLine="0"/>
        <w:rPr>
          <w:rFonts w:ascii="AvantGarde Bk BT" w:hAnsi="AvantGarde Bk BT" w:cs="Arial"/>
          <w:i/>
          <w:color w:val="000000" w:themeColor="text1"/>
          <w:sz w:val="22"/>
          <w:szCs w:val="22"/>
        </w:rPr>
      </w:pPr>
      <w:r w:rsidRPr="007655BD">
        <w:rPr>
          <w:rFonts w:ascii="AvantGarde Bk BT" w:hAnsi="AvantGarde Bk BT" w:cs="Arial"/>
          <w:i/>
          <w:color w:val="000000" w:themeColor="text1"/>
          <w:sz w:val="22"/>
          <w:szCs w:val="22"/>
        </w:rPr>
        <w:t>II. El recurrente fallezca;</w:t>
      </w:r>
    </w:p>
    <w:p w:rsidR="00A424B0" w:rsidRPr="007655BD" w:rsidRDefault="00A424B0" w:rsidP="007655BD">
      <w:pPr>
        <w:pStyle w:val="corte4fondo"/>
        <w:tabs>
          <w:tab w:val="left" w:pos="567"/>
        </w:tabs>
        <w:ind w:left="680" w:firstLine="0"/>
        <w:rPr>
          <w:rFonts w:ascii="AvantGarde Bk BT" w:hAnsi="AvantGarde Bk BT" w:cs="Arial"/>
          <w:i/>
          <w:color w:val="000000" w:themeColor="text1"/>
          <w:sz w:val="22"/>
          <w:szCs w:val="22"/>
        </w:rPr>
      </w:pPr>
      <w:r w:rsidRPr="007655BD">
        <w:rPr>
          <w:rFonts w:ascii="AvantGarde Bk BT" w:hAnsi="AvantGarde Bk BT" w:cs="Arial"/>
          <w:i/>
          <w:color w:val="000000" w:themeColor="text1"/>
          <w:sz w:val="22"/>
          <w:szCs w:val="22"/>
        </w:rPr>
        <w:t>III. El sujeto obligado responsable del acto lo modifique o revoque de tal manera que el recurso de revisión quede sin materia, o</w:t>
      </w:r>
    </w:p>
    <w:p w:rsidR="00A424B0" w:rsidRPr="00A424B0" w:rsidRDefault="00A424B0" w:rsidP="007655BD">
      <w:pPr>
        <w:pStyle w:val="corte4fondo"/>
        <w:tabs>
          <w:tab w:val="left" w:pos="567"/>
        </w:tabs>
        <w:ind w:left="680" w:firstLine="0"/>
        <w:rPr>
          <w:rFonts w:ascii="AvantGarde Bk BT" w:hAnsi="AvantGarde Bk BT" w:cs="Arial"/>
          <w:b/>
          <w:color w:val="000000" w:themeColor="text1"/>
          <w:sz w:val="24"/>
          <w:szCs w:val="24"/>
        </w:rPr>
      </w:pPr>
      <w:r w:rsidRPr="007655BD">
        <w:rPr>
          <w:rFonts w:ascii="AvantGarde Bk BT" w:hAnsi="AvantGarde Bk BT" w:cs="Arial"/>
          <w:i/>
          <w:color w:val="000000" w:themeColor="text1"/>
          <w:sz w:val="22"/>
          <w:szCs w:val="22"/>
        </w:rPr>
        <w:t>IV. Admitido el recurso de revisión, aparezca alguna causal de improcedencia en los términos del presente Capítulo.</w:t>
      </w:r>
      <w:r w:rsidRPr="007655BD">
        <w:rPr>
          <w:rFonts w:ascii="AvantGarde Bk BT" w:hAnsi="AvantGarde Bk BT" w:cs="Arial"/>
          <w:color w:val="000000" w:themeColor="text1"/>
          <w:sz w:val="24"/>
          <w:szCs w:val="24"/>
        </w:rPr>
        <w:t>”</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Del análisis realizado por esta Comisión, se advierte que se actualiza la causal prevista en la fracción III, esto es, la modificación o revocación del acto impugnado</w:t>
      </w:r>
      <w:r w:rsidRPr="00A424B0">
        <w:rPr>
          <w:rFonts w:ascii="AvantGarde Bk BT" w:hAnsi="AvantGarde Bk BT" w:cs="Arial"/>
          <w:b/>
          <w:color w:val="000000" w:themeColor="text1"/>
          <w:sz w:val="24"/>
          <w:szCs w:val="24"/>
        </w:rPr>
        <w:t xml:space="preserve"> </w:t>
      </w:r>
      <w:r w:rsidRPr="00A424B0">
        <w:rPr>
          <w:rFonts w:ascii="AvantGarde Bk BT" w:hAnsi="AvantGarde Bk BT" w:cs="Arial"/>
          <w:color w:val="000000" w:themeColor="text1"/>
          <w:sz w:val="24"/>
          <w:szCs w:val="24"/>
        </w:rPr>
        <w:t>por parte del sujeto obligado de tal manera que éste quede sin materia, en virtud de las consideraciones que a continuación se exponen.</w:t>
      </w:r>
    </w:p>
    <w:p w:rsidR="00A424B0" w:rsidRPr="00A424B0" w:rsidRDefault="00A424B0" w:rsidP="00452CF7">
      <w:pPr>
        <w:pStyle w:val="corte4fondo"/>
        <w:tabs>
          <w:tab w:val="left" w:pos="567"/>
        </w:tabs>
        <w:ind w:firstLine="0"/>
        <w:rPr>
          <w:rFonts w:ascii="AvantGarde Bk BT" w:hAnsi="AvantGarde Bk BT" w:cs="Arial"/>
          <w:b/>
          <w:color w:val="000000" w:themeColor="text1"/>
          <w:sz w:val="24"/>
          <w:szCs w:val="24"/>
        </w:rPr>
      </w:pPr>
    </w:p>
    <w:p w:rsidR="00A424B0" w:rsidRDefault="00452CF7" w:rsidP="00A424B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resulta conveniente recordar que e</w:t>
      </w:r>
      <w:r w:rsidR="00A424B0" w:rsidRPr="00A424B0">
        <w:rPr>
          <w:rFonts w:ascii="AvantGarde Bk BT" w:hAnsi="AvantGarde Bk BT" w:cs="Arial"/>
          <w:color w:val="000000" w:themeColor="text1"/>
          <w:sz w:val="24"/>
          <w:szCs w:val="24"/>
        </w:rPr>
        <w:t xml:space="preserve">l motivo de inconformidad planteado por </w:t>
      </w:r>
      <w:r w:rsidR="008B0D62">
        <w:rPr>
          <w:rFonts w:ascii="AvantGarde Bk BT" w:hAnsi="AvantGarde Bk BT" w:cs="Arial"/>
          <w:color w:val="000000" w:themeColor="text1"/>
          <w:sz w:val="24"/>
          <w:szCs w:val="24"/>
        </w:rPr>
        <w:t>la</w:t>
      </w:r>
      <w:r w:rsidR="00A424B0" w:rsidRPr="00A424B0">
        <w:rPr>
          <w:rFonts w:ascii="AvantGarde Bk BT" w:hAnsi="AvantGarde Bk BT" w:cs="Arial"/>
          <w:color w:val="000000" w:themeColor="text1"/>
          <w:sz w:val="24"/>
          <w:szCs w:val="24"/>
        </w:rPr>
        <w:t xml:space="preserve"> hoy recurrente es </w:t>
      </w:r>
      <w:r w:rsidR="008B0D62">
        <w:rPr>
          <w:rFonts w:ascii="AvantGarde Bk BT" w:hAnsi="AvantGarde Bk BT" w:cs="Arial"/>
          <w:color w:val="000000" w:themeColor="text1"/>
          <w:sz w:val="24"/>
          <w:szCs w:val="24"/>
        </w:rPr>
        <w:t>que no se le entregó lo peticionado y que no se realizó una búsqueda exhaustiva de la información que solicitó.</w:t>
      </w:r>
    </w:p>
    <w:p w:rsidR="008B0D62" w:rsidRPr="00A424B0" w:rsidRDefault="008B0D62"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5.</w:t>
      </w:r>
      <w:r w:rsidR="00F72564">
        <w:rPr>
          <w:rFonts w:ascii="AvantGarde Bk BT" w:hAnsi="AvantGarde Bk BT" w:cs="Arial"/>
          <w:b/>
          <w:color w:val="000000" w:themeColor="text1"/>
          <w:sz w:val="24"/>
          <w:szCs w:val="24"/>
        </w:rPr>
        <w:t>1</w:t>
      </w:r>
      <w:r w:rsidRPr="00A424B0">
        <w:rPr>
          <w:rFonts w:ascii="AvantGarde Bk BT" w:hAnsi="AvantGarde Bk BT" w:cs="Arial"/>
          <w:b/>
          <w:color w:val="000000" w:themeColor="text1"/>
          <w:sz w:val="24"/>
          <w:szCs w:val="24"/>
        </w:rPr>
        <w:t>. Elementos de la figura del sobreseimiento.</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910ECA" w:rsidP="00A424B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00A424B0" w:rsidRPr="00A424B0">
        <w:rPr>
          <w:rFonts w:ascii="AvantGarde Bk BT" w:hAnsi="AvantGarde Bk BT" w:cs="Arial"/>
          <w:color w:val="000000" w:themeColor="text1"/>
          <w:sz w:val="24"/>
          <w:szCs w:val="24"/>
        </w:rPr>
        <w:t xml:space="preserve">s importante precisar que para efecto de que se actualice la causal establecida en la fracción III del artículo citado, se deben configurar dos elementos, los cuales son: </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b/>
          <w:color w:val="000000" w:themeColor="text1"/>
          <w:sz w:val="24"/>
          <w:szCs w:val="24"/>
        </w:rPr>
        <w:t xml:space="preserve">Primer elemento: </w:t>
      </w:r>
      <w:r w:rsidRPr="00A424B0">
        <w:rPr>
          <w:rFonts w:ascii="AvantGarde Bk BT" w:hAnsi="AvantGarde Bk BT" w:cs="Arial"/>
          <w:color w:val="000000" w:themeColor="text1"/>
          <w:sz w:val="24"/>
          <w:szCs w:val="24"/>
        </w:rPr>
        <w:t xml:space="preserve">La autoridad responsable del acto o resolución impugnados, los modifique o revoque. </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b/>
          <w:color w:val="000000" w:themeColor="text1"/>
          <w:sz w:val="24"/>
          <w:szCs w:val="24"/>
        </w:rPr>
        <w:t xml:space="preserve">Segundo elemento: </w:t>
      </w:r>
      <w:r w:rsidRPr="00A424B0">
        <w:rPr>
          <w:rFonts w:ascii="AvantGarde Bk BT" w:hAnsi="AvantGarde Bk BT" w:cs="Arial"/>
          <w:color w:val="000000" w:themeColor="text1"/>
          <w:sz w:val="24"/>
          <w:szCs w:val="24"/>
        </w:rPr>
        <w:t xml:space="preserve">Que dicha modificación o revocación deje sin materia el recurso antes de que se resuelva el mismo. </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5.</w:t>
      </w:r>
      <w:r w:rsidR="00F72564">
        <w:rPr>
          <w:rFonts w:ascii="AvantGarde Bk BT" w:hAnsi="AvantGarde Bk BT" w:cs="Arial"/>
          <w:b/>
          <w:color w:val="000000" w:themeColor="text1"/>
          <w:sz w:val="24"/>
          <w:szCs w:val="24"/>
        </w:rPr>
        <w:t>2</w:t>
      </w:r>
      <w:r w:rsidRPr="00A424B0">
        <w:rPr>
          <w:rFonts w:ascii="AvantGarde Bk BT" w:hAnsi="AvantGarde Bk BT" w:cs="Arial"/>
          <w:b/>
          <w:color w:val="000000" w:themeColor="text1"/>
          <w:sz w:val="24"/>
          <w:szCs w:val="24"/>
        </w:rPr>
        <w:t>. Estudio del primer elemento.</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 xml:space="preserve">En lo tocante al primer elemento, del estudio de las constancias que integran el expediente que nos ocupa, se desprende que el ente obligado </w:t>
      </w:r>
      <w:r w:rsidR="00903ECC">
        <w:rPr>
          <w:rFonts w:ascii="AvantGarde Bk BT" w:hAnsi="AvantGarde Bk BT" w:cs="Arial"/>
          <w:color w:val="000000" w:themeColor="text1"/>
          <w:sz w:val="24"/>
          <w:szCs w:val="24"/>
        </w:rPr>
        <w:t>revocó</w:t>
      </w:r>
      <w:r w:rsidRPr="00A424B0">
        <w:rPr>
          <w:rFonts w:ascii="AvantGarde Bk BT" w:hAnsi="AvantGarde Bk BT" w:cs="Arial"/>
          <w:color w:val="000000" w:themeColor="text1"/>
          <w:sz w:val="24"/>
          <w:szCs w:val="24"/>
        </w:rPr>
        <w:t xml:space="preserve"> el acto impugnado.</w:t>
      </w:r>
    </w:p>
    <w:p w:rsidR="00A424B0" w:rsidRPr="00A424B0" w:rsidRDefault="00A424B0" w:rsidP="00A424B0">
      <w:pPr>
        <w:pStyle w:val="corte4fondo"/>
        <w:tabs>
          <w:tab w:val="left" w:pos="567"/>
        </w:tabs>
        <w:rPr>
          <w:rFonts w:ascii="AvantGarde Bk BT" w:hAnsi="AvantGarde Bk BT" w:cs="Arial"/>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 xml:space="preserve">Esto es así, ya que según obra </w:t>
      </w:r>
      <w:r w:rsidR="00903ECC">
        <w:rPr>
          <w:rFonts w:ascii="AvantGarde Bk BT" w:hAnsi="AvantGarde Bk BT" w:cs="Arial"/>
          <w:color w:val="000000" w:themeColor="text1"/>
          <w:sz w:val="24"/>
          <w:szCs w:val="24"/>
        </w:rPr>
        <w:t xml:space="preserve">de </w:t>
      </w:r>
      <w:r w:rsidRPr="00A424B0">
        <w:rPr>
          <w:rFonts w:ascii="AvantGarde Bk BT" w:hAnsi="AvantGarde Bk BT" w:cs="Arial"/>
          <w:color w:val="000000" w:themeColor="text1"/>
          <w:sz w:val="24"/>
          <w:szCs w:val="24"/>
        </w:rPr>
        <w:t xml:space="preserve">foja </w:t>
      </w:r>
      <w:r w:rsidR="00903ECC">
        <w:rPr>
          <w:rFonts w:ascii="AvantGarde Bk BT" w:hAnsi="AvantGarde Bk BT" w:cs="Arial"/>
          <w:color w:val="000000" w:themeColor="text1"/>
          <w:sz w:val="24"/>
          <w:szCs w:val="24"/>
        </w:rPr>
        <w:t>22 veintidós a 24 veinticuatro</w:t>
      </w:r>
      <w:r w:rsidRPr="00A424B0">
        <w:rPr>
          <w:rFonts w:ascii="AvantGarde Bk BT" w:hAnsi="AvantGarde Bk BT" w:cs="Arial"/>
          <w:color w:val="000000" w:themeColor="text1"/>
          <w:sz w:val="24"/>
          <w:szCs w:val="24"/>
        </w:rPr>
        <w:t xml:space="preserve"> de autos, el Jefe de la Unidad de Transparencia del ente obligado manifestó en el informe que rindió ante esta Comisión que se le hizo llegar al particular a su correo electrónico la </w:t>
      </w:r>
      <w:r w:rsidRPr="00A424B0">
        <w:rPr>
          <w:rFonts w:ascii="AvantGarde Bk BT" w:hAnsi="AvantGarde Bk BT" w:cs="Arial"/>
          <w:color w:val="000000" w:themeColor="text1"/>
          <w:sz w:val="24"/>
          <w:szCs w:val="24"/>
        </w:rPr>
        <w:lastRenderedPageBreak/>
        <w:t xml:space="preserve">información requerida en su solicitud, y para corroborar lo anterior, remitió copia certificada de </w:t>
      </w:r>
      <w:r w:rsidR="0009531C">
        <w:rPr>
          <w:rFonts w:ascii="AvantGarde Bk BT" w:hAnsi="AvantGarde Bk BT" w:cs="Arial"/>
          <w:color w:val="000000" w:themeColor="text1"/>
          <w:sz w:val="24"/>
          <w:szCs w:val="24"/>
        </w:rPr>
        <w:t xml:space="preserve">las impresiones de pantalla </w:t>
      </w:r>
      <w:r w:rsidRPr="00A424B0">
        <w:rPr>
          <w:rFonts w:ascii="AvantGarde Bk BT" w:hAnsi="AvantGarde Bk BT" w:cs="Arial"/>
          <w:color w:val="000000" w:themeColor="text1"/>
          <w:sz w:val="24"/>
          <w:szCs w:val="24"/>
        </w:rPr>
        <w:t xml:space="preserve">del correo enviado, </w:t>
      </w:r>
      <w:r w:rsidR="0009531C">
        <w:rPr>
          <w:rFonts w:ascii="AvantGarde Bk BT" w:hAnsi="AvantGarde Bk BT" w:cs="Arial"/>
          <w:color w:val="000000" w:themeColor="text1"/>
          <w:sz w:val="24"/>
          <w:szCs w:val="24"/>
        </w:rPr>
        <w:t>así com</w:t>
      </w:r>
      <w:r w:rsidR="001728BA">
        <w:rPr>
          <w:rFonts w:ascii="AvantGarde Bk BT" w:hAnsi="AvantGarde Bk BT" w:cs="Arial"/>
          <w:color w:val="000000" w:themeColor="text1"/>
          <w:sz w:val="24"/>
          <w:szCs w:val="24"/>
        </w:rPr>
        <w:t xml:space="preserve">o el oficio número 121/2018, de fecha 30 treinta de mayo de 2018 dos mil dieciocho, signado por el Jefe de la Unidad de Transparencia, mediante el cual notificó una nueva respuesta a la solicitud de información, </w:t>
      </w:r>
      <w:r w:rsidRPr="00A424B0">
        <w:rPr>
          <w:rFonts w:ascii="AvantGarde Bk BT" w:hAnsi="AvantGarde Bk BT" w:cs="Arial"/>
          <w:color w:val="000000" w:themeColor="text1"/>
          <w:sz w:val="24"/>
          <w:szCs w:val="24"/>
        </w:rPr>
        <w:t xml:space="preserve">constancias visibles de foja </w:t>
      </w:r>
      <w:r w:rsidR="001728BA">
        <w:rPr>
          <w:rFonts w:ascii="AvantGarde Bk BT" w:hAnsi="AvantGarde Bk BT" w:cs="Arial"/>
          <w:color w:val="000000" w:themeColor="text1"/>
          <w:sz w:val="24"/>
          <w:szCs w:val="24"/>
        </w:rPr>
        <w:t>25 veinticinco a 29 veintinueve</w:t>
      </w:r>
      <w:r w:rsidRPr="00A424B0">
        <w:rPr>
          <w:rFonts w:ascii="AvantGarde Bk BT" w:hAnsi="AvantGarde Bk BT" w:cs="Arial"/>
          <w:color w:val="000000" w:themeColor="text1"/>
          <w:sz w:val="24"/>
          <w:szCs w:val="24"/>
        </w:rPr>
        <w:t xml:space="preserve"> de autos.</w:t>
      </w:r>
    </w:p>
    <w:p w:rsidR="00A424B0" w:rsidRPr="00A424B0" w:rsidRDefault="00A424B0" w:rsidP="00F46F88">
      <w:pPr>
        <w:pStyle w:val="corte4fondo"/>
        <w:tabs>
          <w:tab w:val="left" w:pos="567"/>
        </w:tabs>
        <w:ind w:firstLine="0"/>
        <w:rPr>
          <w:rFonts w:ascii="AvantGarde Bk BT" w:hAnsi="AvantGarde Bk BT" w:cs="Arial"/>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En el caso concreto, se acredita que el acto impugnado en el presente recurso fue revocado por el ente obligado</w:t>
      </w:r>
      <w:r w:rsidR="00B44597">
        <w:rPr>
          <w:rFonts w:ascii="AvantGarde Bk BT" w:hAnsi="AvantGarde Bk BT" w:cs="Arial"/>
          <w:color w:val="000000" w:themeColor="text1"/>
          <w:sz w:val="24"/>
          <w:szCs w:val="24"/>
        </w:rPr>
        <w:t xml:space="preserve">, toda vez que </w:t>
      </w:r>
      <w:r w:rsidR="00C2016E">
        <w:rPr>
          <w:rFonts w:ascii="AvantGarde Bk BT" w:hAnsi="AvantGarde Bk BT" w:cs="Arial"/>
          <w:color w:val="000000" w:themeColor="text1"/>
          <w:sz w:val="24"/>
          <w:szCs w:val="24"/>
        </w:rPr>
        <w:t>su respuesta primigenia fue en el sentido de informar que esa entidad pública no publica ninguna revista, y posteriormente, notificó a la recurrente una nueva respuesta en la que le señaló que si bien no se realiza ninguna publicación que se considere como una revista, la Secretaría de Cultura sí mantiene una publicación periódica, que es un boletín titulado “Agenda Cultural”, la cual es mensual, tanto de manera impresa con un tiraje de 2500 a 3000 ejemplares, así como en versión digital que se publica en la página de la Secretaría</w:t>
      </w:r>
      <w:r w:rsidR="00E352A1">
        <w:rPr>
          <w:rFonts w:ascii="AvantGarde Bk BT" w:hAnsi="AvantGarde Bk BT" w:cs="Arial"/>
          <w:color w:val="000000" w:themeColor="text1"/>
          <w:sz w:val="24"/>
          <w:szCs w:val="24"/>
        </w:rPr>
        <w:t xml:space="preserve"> en la ruta electrónica </w:t>
      </w:r>
      <w:hyperlink r:id="rId9" w:history="1">
        <w:r w:rsidR="00E352A1" w:rsidRPr="009678E1">
          <w:rPr>
            <w:rStyle w:val="Hipervnculo"/>
            <w:rFonts w:ascii="AvantGarde Bk BT" w:hAnsi="AvantGarde Bk BT" w:cs="Arial"/>
            <w:sz w:val="24"/>
            <w:szCs w:val="24"/>
          </w:rPr>
          <w:t>https://culturaslp.gob.mx/agenda-cultural/</w:t>
        </w:r>
      </w:hyperlink>
      <w:r w:rsidR="00E352A1">
        <w:rPr>
          <w:rFonts w:ascii="AvantGarde Bk BT" w:hAnsi="AvantGarde Bk BT" w:cs="Arial"/>
          <w:color w:val="000000" w:themeColor="text1"/>
          <w:sz w:val="24"/>
          <w:szCs w:val="24"/>
        </w:rPr>
        <w:t xml:space="preserve"> </w:t>
      </w:r>
      <w:r w:rsidR="0007524C">
        <w:rPr>
          <w:rFonts w:ascii="AvantGarde Bk BT" w:hAnsi="AvantGarde Bk BT" w:cs="Arial"/>
          <w:color w:val="000000" w:themeColor="text1"/>
          <w:sz w:val="24"/>
          <w:szCs w:val="24"/>
        </w:rPr>
        <w:t>en el que se contienen las actividades culturales</w:t>
      </w:r>
      <w:r w:rsidRPr="00A424B0">
        <w:rPr>
          <w:rFonts w:ascii="AvantGarde Bk BT" w:hAnsi="AvantGarde Bk BT" w:cs="Arial"/>
          <w:color w:val="000000" w:themeColor="text1"/>
          <w:sz w:val="24"/>
          <w:szCs w:val="24"/>
        </w:rPr>
        <w:t>, y acreditar que éste ya se allegó a dicha respuesta.</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5.</w:t>
      </w:r>
      <w:r w:rsidR="0007524C">
        <w:rPr>
          <w:rFonts w:ascii="AvantGarde Bk BT" w:hAnsi="AvantGarde Bk BT" w:cs="Arial"/>
          <w:b/>
          <w:color w:val="000000" w:themeColor="text1"/>
          <w:sz w:val="24"/>
          <w:szCs w:val="24"/>
        </w:rPr>
        <w:t>3</w:t>
      </w:r>
      <w:r w:rsidRPr="00A424B0">
        <w:rPr>
          <w:rFonts w:ascii="AvantGarde Bk BT" w:hAnsi="AvantGarde Bk BT" w:cs="Arial"/>
          <w:b/>
          <w:color w:val="000000" w:themeColor="text1"/>
          <w:sz w:val="24"/>
          <w:szCs w:val="24"/>
        </w:rPr>
        <w:t>. Estudio del segundo elemento.</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 xml:space="preserve">Al encontrarse acreditado el primer elemento se procede al estudio y análisis del segundo elemento, el cual consiste en que el ente obligado al revocar el acto impugnado deje sin materia el recurso de revisión. </w:t>
      </w:r>
    </w:p>
    <w:p w:rsidR="00A424B0" w:rsidRPr="00A424B0" w:rsidRDefault="00A424B0" w:rsidP="00A424B0">
      <w:pPr>
        <w:pStyle w:val="corte4fondo"/>
        <w:tabs>
          <w:tab w:val="left" w:pos="567"/>
        </w:tabs>
        <w:rPr>
          <w:rFonts w:ascii="AvantGarde Bk BT" w:hAnsi="AvantGarde Bk BT" w:cs="Arial"/>
          <w:color w:val="000000" w:themeColor="text1"/>
          <w:sz w:val="24"/>
          <w:szCs w:val="24"/>
        </w:rPr>
      </w:pPr>
    </w:p>
    <w:p w:rsidR="007F31D5"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 xml:space="preserve"> Bien, el mismo se acredita, toda vez que de acuerdo a las constancias remitidas por el ente obligado, se envió al correo electrónico del particular una respuesta en la que se le proporcionó la información consistente</w:t>
      </w:r>
      <w:r w:rsidR="007F31D5">
        <w:rPr>
          <w:rFonts w:ascii="AvantGarde Bk BT" w:hAnsi="AvantGarde Bk BT" w:cs="Arial"/>
          <w:color w:val="000000" w:themeColor="text1"/>
          <w:sz w:val="24"/>
          <w:szCs w:val="24"/>
        </w:rPr>
        <w:t xml:space="preserve"> en el</w:t>
      </w:r>
      <w:r w:rsidRPr="00A424B0">
        <w:rPr>
          <w:rFonts w:ascii="AvantGarde Bk BT" w:hAnsi="AvantGarde Bk BT" w:cs="Arial"/>
          <w:color w:val="000000" w:themeColor="text1"/>
          <w:sz w:val="24"/>
          <w:szCs w:val="24"/>
        </w:rPr>
        <w:t xml:space="preserve"> </w:t>
      </w:r>
      <w:r w:rsidR="007F31D5">
        <w:rPr>
          <w:rFonts w:ascii="AvantGarde Bk BT" w:hAnsi="AvantGarde Bk BT" w:cs="Arial"/>
          <w:color w:val="000000" w:themeColor="text1"/>
          <w:sz w:val="24"/>
          <w:szCs w:val="24"/>
        </w:rPr>
        <w:t xml:space="preserve">boletín </w:t>
      </w:r>
      <w:r w:rsidR="009D5891">
        <w:rPr>
          <w:rFonts w:ascii="AvantGarde Bk BT" w:hAnsi="AvantGarde Bk BT" w:cs="Arial"/>
          <w:color w:val="000000" w:themeColor="text1"/>
          <w:sz w:val="24"/>
          <w:szCs w:val="24"/>
        </w:rPr>
        <w:t xml:space="preserve">que publica la Secretaría mensualmente, </w:t>
      </w:r>
      <w:r w:rsidR="007F31D5">
        <w:rPr>
          <w:rFonts w:ascii="AvantGarde Bk BT" w:hAnsi="AvantGarde Bk BT" w:cs="Arial"/>
          <w:color w:val="000000" w:themeColor="text1"/>
          <w:sz w:val="24"/>
          <w:szCs w:val="24"/>
        </w:rPr>
        <w:t xml:space="preserve">titulado “Agenda Cultural”, </w:t>
      </w:r>
      <w:r w:rsidR="009D5891">
        <w:rPr>
          <w:rFonts w:ascii="AvantGarde Bk BT" w:hAnsi="AvantGarde Bk BT" w:cs="Arial"/>
          <w:color w:val="000000" w:themeColor="text1"/>
          <w:sz w:val="24"/>
          <w:szCs w:val="24"/>
        </w:rPr>
        <w:t>cuya</w:t>
      </w:r>
      <w:r w:rsidR="007F31D5">
        <w:rPr>
          <w:rFonts w:ascii="AvantGarde Bk BT" w:hAnsi="AvantGarde Bk BT" w:cs="Arial"/>
          <w:color w:val="000000" w:themeColor="text1"/>
          <w:sz w:val="24"/>
          <w:szCs w:val="24"/>
        </w:rPr>
        <w:t xml:space="preserve"> versión digital se publica en la ruta electrónica </w:t>
      </w:r>
      <w:hyperlink r:id="rId10" w:history="1">
        <w:r w:rsidR="007F31D5" w:rsidRPr="009678E1">
          <w:rPr>
            <w:rStyle w:val="Hipervnculo"/>
            <w:rFonts w:ascii="AvantGarde Bk BT" w:hAnsi="AvantGarde Bk BT" w:cs="Arial"/>
            <w:sz w:val="24"/>
            <w:szCs w:val="24"/>
          </w:rPr>
          <w:t>https://culturaslp.gob.mx/agenda-cultural/</w:t>
        </w:r>
      </w:hyperlink>
      <w:r w:rsidR="00D47CA9">
        <w:rPr>
          <w:rFonts w:ascii="AvantGarde Bk BT" w:hAnsi="AvantGarde Bk BT" w:cs="Arial"/>
          <w:color w:val="000000" w:themeColor="text1"/>
          <w:sz w:val="24"/>
          <w:szCs w:val="24"/>
        </w:rPr>
        <w:t xml:space="preserve">, misma </w:t>
      </w:r>
      <w:r w:rsidR="00D47CA9">
        <w:rPr>
          <w:rFonts w:ascii="AvantGarde Bk BT" w:hAnsi="AvantGarde Bk BT" w:cs="Arial"/>
          <w:color w:val="000000" w:themeColor="text1"/>
          <w:sz w:val="24"/>
          <w:szCs w:val="24"/>
        </w:rPr>
        <w:lastRenderedPageBreak/>
        <w:t xml:space="preserve">a la que sí se puede acceder y en la que </w:t>
      </w:r>
      <w:r w:rsidR="00746C89">
        <w:rPr>
          <w:rFonts w:ascii="AvantGarde Bk BT" w:hAnsi="AvantGarde Bk BT" w:cs="Arial"/>
          <w:color w:val="000000" w:themeColor="text1"/>
          <w:sz w:val="24"/>
          <w:szCs w:val="24"/>
        </w:rPr>
        <w:t xml:space="preserve">en efecto se observa la programación </w:t>
      </w:r>
      <w:proofErr w:type="spellStart"/>
      <w:r w:rsidR="00746C89">
        <w:rPr>
          <w:rFonts w:ascii="AvantGarde Bk BT" w:hAnsi="AvantGarde Bk BT" w:cs="Arial"/>
          <w:color w:val="000000" w:themeColor="text1"/>
          <w:sz w:val="24"/>
          <w:szCs w:val="24"/>
        </w:rPr>
        <w:t>e</w:t>
      </w:r>
      <w:proofErr w:type="spellEnd"/>
      <w:r w:rsidR="00746C89">
        <w:rPr>
          <w:rFonts w:ascii="AvantGarde Bk BT" w:hAnsi="AvantGarde Bk BT" w:cs="Arial"/>
          <w:color w:val="000000" w:themeColor="text1"/>
          <w:sz w:val="24"/>
          <w:szCs w:val="24"/>
        </w:rPr>
        <w:t xml:space="preserve"> la agenda cultural:</w:t>
      </w:r>
      <w:r w:rsidR="00D47CA9">
        <w:rPr>
          <w:rFonts w:ascii="AvantGarde Bk BT" w:hAnsi="AvantGarde Bk BT" w:cs="Arial"/>
          <w:color w:val="000000" w:themeColor="text1"/>
          <w:sz w:val="24"/>
          <w:szCs w:val="24"/>
        </w:rPr>
        <w:t>:</w:t>
      </w:r>
    </w:p>
    <w:p w:rsidR="007F31D5" w:rsidRDefault="00B40644" w:rsidP="00A424B0">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5C92FBD8">
            <wp:simplePos x="0" y="0"/>
            <wp:positionH relativeFrom="column">
              <wp:posOffset>-635</wp:posOffset>
            </wp:positionH>
            <wp:positionV relativeFrom="paragraph">
              <wp:posOffset>337185</wp:posOffset>
            </wp:positionV>
            <wp:extent cx="6299200" cy="6089015"/>
            <wp:effectExtent l="0" t="0" r="6350" b="698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6743" t="11471" r="27000" b="9042"/>
                    <a:stretch/>
                  </pic:blipFill>
                  <pic:spPr bwMode="auto">
                    <a:xfrm>
                      <a:off x="0" y="0"/>
                      <a:ext cx="6299200" cy="6089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268D1" w:rsidRDefault="002268D1" w:rsidP="00A424B0">
      <w:pPr>
        <w:pStyle w:val="corte4fondo"/>
        <w:tabs>
          <w:tab w:val="left" w:pos="567"/>
        </w:tabs>
        <w:rPr>
          <w:rFonts w:ascii="AvantGarde Bk BT" w:hAnsi="AvantGarde Bk BT" w:cs="Arial"/>
          <w:color w:val="000000" w:themeColor="text1"/>
          <w:sz w:val="24"/>
          <w:szCs w:val="24"/>
        </w:rPr>
      </w:pPr>
    </w:p>
    <w:p w:rsidR="00E606E3" w:rsidRDefault="00E606E3" w:rsidP="00B40644">
      <w:pPr>
        <w:pStyle w:val="corte4fondo"/>
        <w:tabs>
          <w:tab w:val="left" w:pos="567"/>
        </w:tabs>
        <w:ind w:firstLine="0"/>
        <w:rPr>
          <w:rFonts w:ascii="AvantGarde Bk BT" w:hAnsi="AvantGarde Bk BT" w:cs="Arial"/>
          <w:color w:val="000000" w:themeColor="text1"/>
          <w:sz w:val="24"/>
          <w:szCs w:val="24"/>
        </w:rPr>
      </w:pPr>
    </w:p>
    <w:p w:rsidR="00E606E3" w:rsidRDefault="00746C89" w:rsidP="00A424B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Al respecto, es pertinente mencionar que el artículo 15 del Reglamento Interior de la Secretaría de Cultura, para impulsar y difundir las actividades artísticas del Estado, la Secretaría implementará un Programa Anual de Divulgación</w:t>
      </w:r>
      <w:r w:rsidR="00844BD8">
        <w:rPr>
          <w:rFonts w:ascii="AvantGarde Bk BT" w:hAnsi="AvantGarde Bk BT" w:cs="Arial"/>
          <w:color w:val="000000" w:themeColor="text1"/>
          <w:sz w:val="24"/>
          <w:szCs w:val="24"/>
        </w:rPr>
        <w:t>, en cuyo contenido se debe</w:t>
      </w:r>
      <w:r w:rsidR="00710DE3">
        <w:rPr>
          <w:rFonts w:ascii="AvantGarde Bk BT" w:hAnsi="AvantGarde Bk BT" w:cs="Arial"/>
          <w:color w:val="000000" w:themeColor="text1"/>
          <w:sz w:val="24"/>
          <w:szCs w:val="24"/>
        </w:rPr>
        <w:t xml:space="preserve">n incluir los programas y proyectos artísticos, así como los </w:t>
      </w:r>
      <w:r w:rsidR="00710DE3">
        <w:rPr>
          <w:rFonts w:ascii="AvantGarde Bk BT" w:hAnsi="AvantGarde Bk BT" w:cs="Arial"/>
          <w:color w:val="000000" w:themeColor="text1"/>
          <w:sz w:val="24"/>
          <w:szCs w:val="24"/>
        </w:rPr>
        <w:lastRenderedPageBreak/>
        <w:t xml:space="preserve">festivales regionales, nacionales e internacionales, </w:t>
      </w:r>
      <w:proofErr w:type="spellStart"/>
      <w:r w:rsidR="00710DE3">
        <w:rPr>
          <w:rFonts w:ascii="AvantGarde Bk BT" w:hAnsi="AvantGarde Bk BT" w:cs="Arial"/>
          <w:color w:val="000000" w:themeColor="text1"/>
          <w:sz w:val="24"/>
          <w:szCs w:val="24"/>
        </w:rPr>
        <w:t>etc</w:t>
      </w:r>
      <w:proofErr w:type="spellEnd"/>
      <w:r w:rsidR="00710DE3">
        <w:rPr>
          <w:rFonts w:ascii="AvantGarde Bk BT" w:hAnsi="AvantGarde Bk BT" w:cs="Arial"/>
          <w:color w:val="000000" w:themeColor="text1"/>
          <w:sz w:val="24"/>
          <w:szCs w:val="24"/>
        </w:rPr>
        <w:t>, lo que cumple la Secretaría a través de la publicación de la Agenda Cultural a la que remitió a la petic</w:t>
      </w:r>
      <w:r w:rsidR="00B40644">
        <w:rPr>
          <w:rFonts w:ascii="AvantGarde Bk BT" w:hAnsi="AvantGarde Bk BT" w:cs="Arial"/>
          <w:color w:val="000000" w:themeColor="text1"/>
          <w:sz w:val="24"/>
          <w:szCs w:val="24"/>
        </w:rPr>
        <w:t>i</w:t>
      </w:r>
      <w:r w:rsidR="00710DE3">
        <w:rPr>
          <w:rFonts w:ascii="AvantGarde Bk BT" w:hAnsi="AvantGarde Bk BT" w:cs="Arial"/>
          <w:color w:val="000000" w:themeColor="text1"/>
          <w:sz w:val="24"/>
          <w:szCs w:val="24"/>
        </w:rPr>
        <w:t>onaria:</w:t>
      </w:r>
    </w:p>
    <w:p w:rsidR="00E606E3" w:rsidRDefault="00DA2719" w:rsidP="00A424B0">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752" behindDoc="0" locked="0" layoutInCell="1" allowOverlap="1" wp14:anchorId="2D7D5E3B" wp14:editId="3D94D03B">
            <wp:simplePos x="0" y="0"/>
            <wp:positionH relativeFrom="column">
              <wp:posOffset>612775</wp:posOffset>
            </wp:positionH>
            <wp:positionV relativeFrom="paragraph">
              <wp:posOffset>175260</wp:posOffset>
            </wp:positionV>
            <wp:extent cx="4293235" cy="6011545"/>
            <wp:effectExtent l="0" t="0" r="0" b="825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50565" t="19399" r="27917" b="27049"/>
                    <a:stretch/>
                  </pic:blipFill>
                  <pic:spPr bwMode="auto">
                    <a:xfrm>
                      <a:off x="0" y="0"/>
                      <a:ext cx="4293235" cy="6011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06E3" w:rsidRDefault="00E606E3" w:rsidP="00A424B0">
      <w:pPr>
        <w:pStyle w:val="corte4fondo"/>
        <w:tabs>
          <w:tab w:val="left" w:pos="567"/>
        </w:tabs>
        <w:rPr>
          <w:rFonts w:ascii="AvantGarde Bk BT" w:hAnsi="AvantGarde Bk BT" w:cs="Arial"/>
          <w:color w:val="000000" w:themeColor="text1"/>
          <w:sz w:val="24"/>
          <w:szCs w:val="24"/>
        </w:rPr>
      </w:pPr>
    </w:p>
    <w:p w:rsidR="002268D1" w:rsidRDefault="002268D1" w:rsidP="00746C89">
      <w:pPr>
        <w:pStyle w:val="corte4fondo"/>
        <w:tabs>
          <w:tab w:val="left" w:pos="567"/>
        </w:tabs>
        <w:ind w:firstLine="0"/>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2268D1" w:rsidRDefault="002268D1" w:rsidP="00A424B0">
      <w:pPr>
        <w:pStyle w:val="corte4fondo"/>
        <w:tabs>
          <w:tab w:val="left" w:pos="567"/>
        </w:tabs>
        <w:rPr>
          <w:rFonts w:ascii="AvantGarde Bk BT" w:hAnsi="AvantGarde Bk BT" w:cs="Arial"/>
          <w:color w:val="000000" w:themeColor="text1"/>
          <w:sz w:val="24"/>
          <w:szCs w:val="24"/>
        </w:rPr>
      </w:pPr>
    </w:p>
    <w:p w:rsidR="00746C89" w:rsidRPr="00A424B0" w:rsidRDefault="00746C89" w:rsidP="00DA2719">
      <w:pPr>
        <w:pStyle w:val="corte4fondo"/>
        <w:tabs>
          <w:tab w:val="left" w:pos="567"/>
        </w:tabs>
        <w:ind w:firstLine="0"/>
        <w:rPr>
          <w:rFonts w:ascii="AvantGarde Bk BT" w:hAnsi="AvantGarde Bk BT" w:cs="Arial"/>
          <w:color w:val="000000" w:themeColor="text1"/>
          <w:sz w:val="24"/>
          <w:szCs w:val="24"/>
        </w:rPr>
      </w:pPr>
    </w:p>
    <w:p w:rsidR="00B40644" w:rsidRPr="00A424B0" w:rsidRDefault="00B40644" w:rsidP="00A424B0">
      <w:pPr>
        <w:pStyle w:val="corte4fondo"/>
        <w:tabs>
          <w:tab w:val="left" w:pos="567"/>
        </w:tabs>
        <w:rPr>
          <w:rFonts w:ascii="AvantGarde Bk BT" w:hAnsi="AvantGarde Bk BT" w:cs="Arial"/>
          <w:color w:val="000000" w:themeColor="text1"/>
          <w:sz w:val="24"/>
          <w:szCs w:val="24"/>
        </w:rPr>
      </w:pPr>
    </w:p>
    <w:p w:rsidR="00A424B0" w:rsidRPr="00A424B0" w:rsidRDefault="00A424B0" w:rsidP="00746C89">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En</w:t>
      </w:r>
      <w:r w:rsidR="00746C89">
        <w:rPr>
          <w:rFonts w:ascii="AvantGarde Bk BT" w:hAnsi="AvantGarde Bk BT" w:cs="Arial"/>
          <w:color w:val="000000" w:themeColor="text1"/>
          <w:sz w:val="24"/>
          <w:szCs w:val="24"/>
        </w:rPr>
        <w:t xml:space="preserve"> </w:t>
      </w:r>
      <w:r w:rsidRPr="00A424B0">
        <w:rPr>
          <w:rFonts w:ascii="AvantGarde Bk BT" w:hAnsi="AvantGarde Bk BT" w:cs="Arial"/>
          <w:color w:val="000000" w:themeColor="text1"/>
          <w:sz w:val="24"/>
          <w:szCs w:val="24"/>
        </w:rPr>
        <w:t xml:space="preserve">este sentido, de lo expuesto tenemos que el sujeto obligado envió en alcance al peticionario, </w:t>
      </w:r>
      <w:r w:rsidR="00DA2719">
        <w:rPr>
          <w:rFonts w:ascii="AvantGarde Bk BT" w:hAnsi="AvantGarde Bk BT" w:cs="Arial"/>
          <w:color w:val="000000" w:themeColor="text1"/>
          <w:sz w:val="24"/>
          <w:szCs w:val="24"/>
        </w:rPr>
        <w:t>una nueva respuesta a la solicitud de información en la que sí le otorga acceso a la solicitante a la información que peticionó</w:t>
      </w:r>
      <w:r w:rsidRPr="00A424B0">
        <w:rPr>
          <w:rFonts w:ascii="AvantGarde Bk BT" w:hAnsi="AvantGarde Bk BT" w:cs="Arial"/>
          <w:color w:val="000000" w:themeColor="text1"/>
          <w:sz w:val="24"/>
          <w:szCs w:val="24"/>
        </w:rPr>
        <w:t xml:space="preserve">, y asimismo, remitió a esta Comisión las constancias con las que acredita haber notificado dicha respuesta, así como de la que se desprende la información enviada </w:t>
      </w:r>
      <w:r w:rsidR="00DA2719">
        <w:rPr>
          <w:rFonts w:ascii="AvantGarde Bk BT" w:hAnsi="AvantGarde Bk BT" w:cs="Arial"/>
          <w:color w:val="000000" w:themeColor="text1"/>
          <w:sz w:val="24"/>
          <w:szCs w:val="24"/>
        </w:rPr>
        <w:t xml:space="preserve">a </w:t>
      </w:r>
      <w:r w:rsidRPr="00A424B0">
        <w:rPr>
          <w:rFonts w:ascii="AvantGarde Bk BT" w:hAnsi="AvantGarde Bk BT" w:cs="Arial"/>
          <w:color w:val="000000" w:themeColor="text1"/>
          <w:sz w:val="24"/>
          <w:szCs w:val="24"/>
        </w:rPr>
        <w:t>l</w:t>
      </w:r>
      <w:r w:rsidR="00DA2719">
        <w:rPr>
          <w:rFonts w:ascii="AvantGarde Bk BT" w:hAnsi="AvantGarde Bk BT" w:cs="Arial"/>
          <w:color w:val="000000" w:themeColor="text1"/>
          <w:sz w:val="24"/>
          <w:szCs w:val="24"/>
        </w:rPr>
        <w:t>a</w:t>
      </w:r>
      <w:r w:rsidRPr="00A424B0">
        <w:rPr>
          <w:rFonts w:ascii="AvantGarde Bk BT" w:hAnsi="AvantGarde Bk BT" w:cs="Arial"/>
          <w:color w:val="000000" w:themeColor="text1"/>
          <w:sz w:val="24"/>
          <w:szCs w:val="24"/>
        </w:rPr>
        <w:t xml:space="preserve"> particular, y de la que se puede corroborar que ésta corresponde con lo solicitado.</w:t>
      </w:r>
    </w:p>
    <w:p w:rsidR="00A424B0" w:rsidRPr="00A424B0" w:rsidRDefault="00A424B0" w:rsidP="00A424B0">
      <w:pPr>
        <w:pStyle w:val="corte4fondo"/>
        <w:tabs>
          <w:tab w:val="left" w:pos="567"/>
        </w:tabs>
        <w:rPr>
          <w:rFonts w:ascii="AvantGarde Bk BT" w:hAnsi="AvantGarde Bk BT" w:cs="Arial"/>
          <w:color w:val="000000" w:themeColor="text1"/>
          <w:sz w:val="24"/>
          <w:szCs w:val="24"/>
        </w:rPr>
      </w:pPr>
    </w:p>
    <w:p w:rsid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Por lo cual, en la especie se tiene que el presente recurso queda sin materia, al constar en autos que el ente obligado otorgó acceso al peticionario a la información peticionada</w:t>
      </w:r>
      <w:r w:rsidR="00723262">
        <w:rPr>
          <w:rFonts w:ascii="AvantGarde Bk BT" w:hAnsi="AvantGarde Bk BT" w:cs="Arial"/>
          <w:color w:val="000000" w:themeColor="text1"/>
          <w:sz w:val="24"/>
          <w:szCs w:val="24"/>
        </w:rPr>
        <w:t>, revocando así el acto impugnado y que dio origen al presente recurso.</w:t>
      </w:r>
    </w:p>
    <w:p w:rsidR="00DA2719" w:rsidRPr="00A424B0" w:rsidRDefault="00DA2719" w:rsidP="00A424B0">
      <w:pPr>
        <w:pStyle w:val="corte4fondo"/>
        <w:tabs>
          <w:tab w:val="left" w:pos="567"/>
        </w:tabs>
        <w:rPr>
          <w:rFonts w:ascii="AvantGarde Bk BT" w:hAnsi="AvantGarde Bk BT" w:cs="Arial"/>
          <w:color w:val="000000" w:themeColor="text1"/>
          <w:sz w:val="24"/>
          <w:szCs w:val="24"/>
        </w:rPr>
      </w:pPr>
    </w:p>
    <w:p w:rsidR="00A424B0"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color w:val="000000" w:themeColor="text1"/>
          <w:sz w:val="24"/>
          <w:szCs w:val="24"/>
        </w:rPr>
        <w:t>Así, al acreditarse la causa de sobreseimiento prevista en el artículo 180, fracción III de la Ley de Transparencia y Acceso a la Información vigente en el Estado, lo procedente es sobreseer el presente asunto.</w:t>
      </w:r>
    </w:p>
    <w:p w:rsidR="00C04B05" w:rsidRDefault="00C04B05" w:rsidP="00A424B0">
      <w:pPr>
        <w:pStyle w:val="corte4fondo"/>
        <w:tabs>
          <w:tab w:val="left" w:pos="567"/>
        </w:tabs>
        <w:rPr>
          <w:rFonts w:ascii="AvantGarde Bk BT" w:hAnsi="AvantGarde Bk BT" w:cs="Arial"/>
          <w:color w:val="000000" w:themeColor="text1"/>
          <w:sz w:val="24"/>
          <w:szCs w:val="24"/>
        </w:rPr>
      </w:pPr>
    </w:p>
    <w:p w:rsidR="002039A0" w:rsidRDefault="00C04B05" w:rsidP="002039A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es menester </w:t>
      </w:r>
      <w:r w:rsidR="005726D5">
        <w:rPr>
          <w:rFonts w:ascii="AvantGarde Bk BT" w:hAnsi="AvantGarde Bk BT" w:cs="Arial"/>
          <w:color w:val="000000" w:themeColor="text1"/>
          <w:sz w:val="24"/>
          <w:szCs w:val="24"/>
        </w:rPr>
        <w:t>hacer del conocimiento del sujeto obligado que para efecto de otorgar contestación a una solicitud de información, con independencia de su sentido, éste debe actuar con apego a lo establecido en el artículo 153 de la Ley de la materia, esto es, que su Unidad de Transparencia debe garantizar que la solicitud sea turnada a todas las áreas competentes que cuenten con la información, o deban tenerla, de acuerdo a su facultades, competencias o funciones, para que realicen una búsqueda exhaustiva y razonable de la información solicitada:</w:t>
      </w:r>
    </w:p>
    <w:p w:rsidR="005726D5" w:rsidRDefault="005726D5" w:rsidP="002039A0">
      <w:pPr>
        <w:pStyle w:val="corte4fondo"/>
        <w:tabs>
          <w:tab w:val="left" w:pos="567"/>
        </w:tabs>
        <w:rPr>
          <w:rFonts w:ascii="AvantGarde Bk BT" w:hAnsi="AvantGarde Bk BT" w:cs="Arial"/>
          <w:color w:val="000000" w:themeColor="text1"/>
          <w:sz w:val="24"/>
          <w:szCs w:val="24"/>
        </w:rPr>
      </w:pPr>
    </w:p>
    <w:p w:rsidR="005726D5" w:rsidRDefault="003F5536" w:rsidP="00DC051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DC051C">
        <w:rPr>
          <w:rFonts w:ascii="AvantGarde Bk BT" w:hAnsi="AvantGarde Bk BT" w:cs="Arial"/>
          <w:b/>
          <w:i/>
          <w:color w:val="000000" w:themeColor="text1"/>
          <w:sz w:val="22"/>
          <w:szCs w:val="22"/>
        </w:rPr>
        <w:t>ARTÍCULO 153.</w:t>
      </w:r>
      <w:r w:rsidRPr="00DC051C">
        <w:rPr>
          <w:rFonts w:ascii="AvantGarde Bk BT" w:hAnsi="AvantGarde Bk BT" w:cs="Arial"/>
          <w:i/>
          <w:color w:val="000000" w:themeColor="text1"/>
          <w:sz w:val="22"/>
          <w:szCs w:val="22"/>
        </w:rPr>
        <w:t xml:space="preserve"> Las Unidades de Transparencia deberán garantizar que las solicitudes se turnen a todas las Áreas competentes que cuenten con la información o deban tenerla de acuerdo a sus facultades, competencias y funciones, </w:t>
      </w:r>
      <w:r w:rsidRPr="008C3575">
        <w:rPr>
          <w:rFonts w:ascii="AvantGarde Bk BT" w:hAnsi="AvantGarde Bk BT" w:cs="Arial"/>
          <w:b/>
          <w:i/>
          <w:color w:val="000000" w:themeColor="text1"/>
          <w:sz w:val="22"/>
          <w:szCs w:val="22"/>
        </w:rPr>
        <w:t>con el objeto de que realicen una búsqueda exhaustiva y razonable de la información solicitada</w:t>
      </w:r>
      <w:r w:rsidRPr="00DC051C">
        <w:rPr>
          <w:rFonts w:ascii="AvantGarde Bk BT" w:hAnsi="AvantGarde Bk BT" w:cs="Arial"/>
          <w:i/>
          <w:color w:val="000000" w:themeColor="text1"/>
          <w:sz w:val="22"/>
          <w:szCs w:val="22"/>
        </w:rPr>
        <w:t>.</w:t>
      </w:r>
      <w:r w:rsidR="00DC051C">
        <w:rPr>
          <w:rFonts w:ascii="AvantGarde Bk BT" w:hAnsi="AvantGarde Bk BT" w:cs="Arial"/>
          <w:color w:val="000000" w:themeColor="text1"/>
          <w:sz w:val="24"/>
          <w:szCs w:val="24"/>
        </w:rPr>
        <w:t>” (Énfasis añadido de manera intencional).</w:t>
      </w:r>
    </w:p>
    <w:p w:rsidR="002039A0" w:rsidRDefault="002039A0" w:rsidP="002039A0">
      <w:pPr>
        <w:pStyle w:val="corte4fondo"/>
        <w:tabs>
          <w:tab w:val="left" w:pos="567"/>
        </w:tabs>
        <w:rPr>
          <w:rFonts w:ascii="AvantGarde Bk BT" w:hAnsi="AvantGarde Bk BT" w:cs="Arial"/>
          <w:color w:val="000000" w:themeColor="text1"/>
          <w:sz w:val="24"/>
          <w:szCs w:val="24"/>
        </w:rPr>
      </w:pPr>
    </w:p>
    <w:p w:rsidR="002039A0" w:rsidRDefault="00C04B05" w:rsidP="002039A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5F0E9E">
        <w:rPr>
          <w:rFonts w:ascii="AvantGarde Bk BT" w:hAnsi="AvantGarde Bk BT" w:cs="Arial"/>
          <w:color w:val="000000" w:themeColor="text1"/>
          <w:sz w:val="24"/>
          <w:szCs w:val="24"/>
        </w:rPr>
        <w:t>Asimismo, debe destacarse que l</w:t>
      </w:r>
      <w:r w:rsidR="002039A0" w:rsidRPr="000617D4">
        <w:rPr>
          <w:rFonts w:ascii="AvantGarde Bk BT" w:hAnsi="AvantGarde Bk BT" w:cs="Arial"/>
          <w:color w:val="000000" w:themeColor="text1"/>
          <w:sz w:val="24"/>
          <w:szCs w:val="24"/>
        </w:rPr>
        <w:t xml:space="preserve">a </w:t>
      </w:r>
      <w:r w:rsidR="005F0E9E">
        <w:rPr>
          <w:rFonts w:ascii="AvantGarde Bk BT" w:hAnsi="AvantGarde Bk BT" w:cs="Arial"/>
          <w:color w:val="000000" w:themeColor="text1"/>
          <w:sz w:val="24"/>
          <w:szCs w:val="24"/>
        </w:rPr>
        <w:t>L</w:t>
      </w:r>
      <w:r w:rsidR="002039A0" w:rsidRPr="000617D4">
        <w:rPr>
          <w:rFonts w:ascii="AvantGarde Bk BT" w:hAnsi="AvantGarde Bk BT" w:cs="Arial"/>
          <w:color w:val="000000" w:themeColor="text1"/>
          <w:sz w:val="24"/>
          <w:szCs w:val="24"/>
        </w:rPr>
        <w:t>ey</w:t>
      </w:r>
      <w:r w:rsidR="005F0E9E">
        <w:rPr>
          <w:rFonts w:ascii="AvantGarde Bk BT" w:hAnsi="AvantGarde Bk BT" w:cs="Arial"/>
          <w:color w:val="000000" w:themeColor="text1"/>
          <w:sz w:val="24"/>
          <w:szCs w:val="24"/>
        </w:rPr>
        <w:t xml:space="preserve"> de Transparencia</w:t>
      </w:r>
      <w:r w:rsidR="002039A0" w:rsidRPr="000617D4">
        <w:rPr>
          <w:rFonts w:ascii="AvantGarde Bk BT" w:hAnsi="AvantGarde Bk BT" w:cs="Arial"/>
          <w:color w:val="000000" w:themeColor="text1"/>
          <w:sz w:val="24"/>
          <w:szCs w:val="24"/>
        </w:rPr>
        <w:t xml:space="preserve"> tiene entre sus objetivos</w:t>
      </w:r>
      <w:r w:rsidR="005F0E9E">
        <w:rPr>
          <w:rFonts w:ascii="AvantGarde Bk BT" w:hAnsi="AvantGarde Bk BT" w:cs="Arial"/>
          <w:color w:val="000000" w:themeColor="text1"/>
          <w:sz w:val="24"/>
          <w:szCs w:val="24"/>
        </w:rPr>
        <w:t>, el de</w:t>
      </w:r>
      <w:r w:rsidR="002039A0" w:rsidRPr="000617D4">
        <w:rPr>
          <w:rFonts w:ascii="AvantGarde Bk BT" w:hAnsi="AvantGarde Bk BT" w:cs="Arial"/>
          <w:color w:val="000000" w:themeColor="text1"/>
          <w:sz w:val="24"/>
          <w:szCs w:val="24"/>
        </w:rPr>
        <w:t xml:space="preserve"> proveer lo necesario para que toda persona pueda acceder a la información mediante procedimientos sencillos y expeditos</w:t>
      </w:r>
      <w:r w:rsidR="0065366A">
        <w:rPr>
          <w:rFonts w:ascii="AvantGarde Bk BT" w:hAnsi="AvantGarde Bk BT" w:cs="Arial"/>
          <w:color w:val="000000" w:themeColor="text1"/>
          <w:sz w:val="24"/>
          <w:szCs w:val="24"/>
        </w:rPr>
        <w:t xml:space="preserve">, </w:t>
      </w:r>
      <w:r w:rsidR="00585207">
        <w:rPr>
          <w:rFonts w:ascii="AvantGarde Bk BT" w:hAnsi="AvantGarde Bk BT" w:cs="Arial"/>
          <w:color w:val="000000" w:themeColor="text1"/>
          <w:sz w:val="24"/>
          <w:szCs w:val="24"/>
        </w:rPr>
        <w:t>por lo que</w:t>
      </w:r>
      <w:r w:rsidR="002039A0" w:rsidRPr="000617D4">
        <w:rPr>
          <w:rFonts w:ascii="AvantGarde Bk BT" w:hAnsi="AvantGarde Bk BT" w:cs="Arial"/>
          <w:color w:val="000000" w:themeColor="text1"/>
          <w:sz w:val="24"/>
          <w:szCs w:val="24"/>
        </w:rPr>
        <w:t xml:space="preserve"> </w:t>
      </w:r>
      <w:r w:rsidR="00585207">
        <w:rPr>
          <w:rFonts w:ascii="AvantGarde Bk BT" w:hAnsi="AvantGarde Bk BT" w:cs="Arial"/>
          <w:color w:val="000000" w:themeColor="text1"/>
          <w:sz w:val="24"/>
          <w:szCs w:val="24"/>
        </w:rPr>
        <w:t>los sujetos obligados</w:t>
      </w:r>
      <w:r w:rsidR="002039A0" w:rsidRPr="000617D4">
        <w:rPr>
          <w:rFonts w:ascii="AvantGarde Bk BT" w:hAnsi="AvantGarde Bk BT" w:cs="Arial"/>
          <w:color w:val="000000" w:themeColor="text1"/>
          <w:sz w:val="24"/>
          <w:szCs w:val="24"/>
        </w:rPr>
        <w:t xml:space="preserve"> </w:t>
      </w:r>
      <w:r w:rsidR="00585207">
        <w:rPr>
          <w:rFonts w:ascii="AvantGarde Bk BT" w:hAnsi="AvantGarde Bk BT" w:cs="Arial"/>
          <w:color w:val="000000" w:themeColor="text1"/>
          <w:sz w:val="24"/>
          <w:szCs w:val="24"/>
        </w:rPr>
        <w:t xml:space="preserve">deben </w:t>
      </w:r>
      <w:r w:rsidR="002039A0" w:rsidRPr="000617D4">
        <w:rPr>
          <w:rFonts w:ascii="AvantGarde Bk BT" w:hAnsi="AvantGarde Bk BT" w:cs="Arial"/>
          <w:color w:val="000000" w:themeColor="text1"/>
          <w:sz w:val="24"/>
          <w:szCs w:val="24"/>
        </w:rPr>
        <w:t>interpretar las solicitudes de acceso de los particulares de forma tal que se favorezcan los objetivos de la Ley</w:t>
      </w:r>
      <w:r w:rsidR="00BF5ABD">
        <w:rPr>
          <w:rFonts w:ascii="AvantGarde Bk BT" w:hAnsi="AvantGarde Bk BT" w:cs="Arial"/>
          <w:color w:val="000000" w:themeColor="text1"/>
          <w:sz w:val="24"/>
          <w:szCs w:val="24"/>
        </w:rPr>
        <w:t xml:space="preserve">, así como habilitar todos los medios, </w:t>
      </w:r>
      <w:r w:rsidR="00BF5ABD">
        <w:rPr>
          <w:rFonts w:ascii="AvantGarde Bk BT" w:hAnsi="AvantGarde Bk BT" w:cs="Arial"/>
          <w:color w:val="000000" w:themeColor="text1"/>
          <w:sz w:val="24"/>
          <w:szCs w:val="24"/>
        </w:rPr>
        <w:lastRenderedPageBreak/>
        <w:t>acciones y esfuerzos para facilitar el ejercicio del derecho de acceso a la información, esto de conformidad con lo dispuesto en el artículo 12 de la Ley:</w:t>
      </w:r>
    </w:p>
    <w:p w:rsidR="00BF5ABD" w:rsidRDefault="00BF5ABD" w:rsidP="002039A0">
      <w:pPr>
        <w:pStyle w:val="corte4fondo"/>
        <w:tabs>
          <w:tab w:val="left" w:pos="567"/>
        </w:tabs>
        <w:rPr>
          <w:rFonts w:ascii="AvantGarde Bk BT" w:hAnsi="AvantGarde Bk BT" w:cs="Arial"/>
          <w:color w:val="000000" w:themeColor="text1"/>
          <w:sz w:val="24"/>
          <w:szCs w:val="24"/>
        </w:rPr>
      </w:pPr>
    </w:p>
    <w:p w:rsidR="00BF5ABD" w:rsidRPr="00BF5ABD" w:rsidRDefault="00BF5ABD" w:rsidP="00BF5ABD">
      <w:pPr>
        <w:pStyle w:val="corte4fondo"/>
        <w:tabs>
          <w:tab w:val="left" w:pos="567"/>
        </w:tabs>
        <w:ind w:left="680" w:firstLine="0"/>
        <w:rPr>
          <w:rFonts w:ascii="AvantGarde Bk BT" w:hAnsi="AvantGarde Bk BT" w:cs="Arial"/>
          <w:i/>
          <w:color w:val="000000" w:themeColor="text1"/>
          <w:sz w:val="22"/>
          <w:szCs w:val="22"/>
        </w:rPr>
      </w:pPr>
      <w:r w:rsidRPr="00BF5ABD">
        <w:rPr>
          <w:rFonts w:ascii="AvantGarde Bk BT" w:hAnsi="AvantGarde Bk BT" w:cs="Arial"/>
          <w:i/>
          <w:color w:val="000000" w:themeColor="text1"/>
          <w:sz w:val="22"/>
          <w:szCs w:val="22"/>
        </w:rPr>
        <w:t>“</w:t>
      </w:r>
      <w:r w:rsidRPr="00BF5ABD">
        <w:rPr>
          <w:rFonts w:ascii="AvantGarde Bk BT" w:hAnsi="AvantGarde Bk BT" w:cs="Arial"/>
          <w:b/>
          <w:i/>
          <w:color w:val="000000" w:themeColor="text1"/>
          <w:sz w:val="22"/>
          <w:szCs w:val="22"/>
        </w:rPr>
        <w:t>ARTÍCULO 12.</w:t>
      </w:r>
      <w:r w:rsidRPr="00BF5ABD">
        <w:rPr>
          <w:rFonts w:ascii="AvantGarde Bk BT" w:hAnsi="AvantGarde Bk BT" w:cs="Arial"/>
          <w:i/>
          <w:color w:val="000000" w:themeColor="text1"/>
          <w:sz w:val="22"/>
          <w:szCs w:val="22"/>
        </w:rPr>
        <w:t xml:space="preserve"> Toda la información pública generada, obtenida, adquirida, transformada o en posesión de los sujetos obligados es pública y será accesible a cualquier persona, para lo que se deberán habilitar todos los medios, acciones y esfuerzos disponibles en los términos y condiciones que establezca esta Ley; la Ley General; así como demás normas aplicables.”</w:t>
      </w:r>
    </w:p>
    <w:p w:rsidR="005B630A" w:rsidRDefault="005B630A" w:rsidP="005B630A">
      <w:pPr>
        <w:pStyle w:val="corte4fondo"/>
        <w:tabs>
          <w:tab w:val="left" w:pos="567"/>
        </w:tabs>
        <w:ind w:firstLine="0"/>
        <w:rPr>
          <w:rFonts w:ascii="AvantGarde Bk BT" w:hAnsi="AvantGarde Bk BT" w:cs="Arial"/>
          <w:color w:val="000000" w:themeColor="text1"/>
          <w:sz w:val="24"/>
          <w:szCs w:val="24"/>
        </w:rPr>
      </w:pPr>
    </w:p>
    <w:p w:rsidR="00720475" w:rsidRDefault="002039A0" w:rsidP="00720475">
      <w:pPr>
        <w:pStyle w:val="corte4fondo"/>
        <w:tabs>
          <w:tab w:val="left" w:pos="567"/>
        </w:tabs>
        <w:ind w:firstLine="680"/>
        <w:rPr>
          <w:rFonts w:ascii="AvantGarde Bk BT" w:hAnsi="AvantGarde Bk BT" w:cs="Arial"/>
          <w:color w:val="000000" w:themeColor="text1"/>
          <w:sz w:val="24"/>
          <w:szCs w:val="24"/>
        </w:rPr>
      </w:pPr>
      <w:r w:rsidRPr="000617D4">
        <w:rPr>
          <w:rFonts w:ascii="AvantGarde Bk BT" w:hAnsi="AvantGarde Bk BT" w:cs="Arial"/>
          <w:color w:val="000000" w:themeColor="text1"/>
          <w:sz w:val="24"/>
          <w:szCs w:val="24"/>
        </w:rPr>
        <w:t xml:space="preserve">Por lo que </w:t>
      </w:r>
      <w:r w:rsidR="005B630A">
        <w:rPr>
          <w:rFonts w:ascii="AvantGarde Bk BT" w:hAnsi="AvantGarde Bk BT" w:cs="Arial"/>
          <w:color w:val="000000" w:themeColor="text1"/>
          <w:sz w:val="24"/>
          <w:szCs w:val="24"/>
        </w:rPr>
        <w:t xml:space="preserve">en el caso que aquí nos ocupa, </w:t>
      </w:r>
      <w:r w:rsidRPr="000617D4">
        <w:rPr>
          <w:rFonts w:ascii="AvantGarde Bk BT" w:hAnsi="AvantGarde Bk BT" w:cs="Arial"/>
          <w:color w:val="000000" w:themeColor="text1"/>
          <w:sz w:val="24"/>
          <w:szCs w:val="24"/>
        </w:rPr>
        <w:t xml:space="preserve">en aras de garantizar el derecho de acceso a la información, </w:t>
      </w:r>
      <w:r w:rsidR="005B630A">
        <w:rPr>
          <w:rFonts w:ascii="AvantGarde Bk BT" w:hAnsi="AvantGarde Bk BT" w:cs="Arial"/>
          <w:color w:val="000000" w:themeColor="text1"/>
          <w:sz w:val="24"/>
          <w:szCs w:val="24"/>
        </w:rPr>
        <w:t xml:space="preserve">el sujeto obligado </w:t>
      </w:r>
      <w:r w:rsidRPr="000617D4">
        <w:rPr>
          <w:rFonts w:ascii="AvantGarde Bk BT" w:hAnsi="AvantGarde Bk BT" w:cs="Arial"/>
          <w:color w:val="000000" w:themeColor="text1"/>
          <w:sz w:val="24"/>
          <w:szCs w:val="24"/>
        </w:rPr>
        <w:t>debió</w:t>
      </w:r>
      <w:r w:rsidR="0038416D">
        <w:rPr>
          <w:rFonts w:ascii="AvantGarde Bk BT" w:hAnsi="AvantGarde Bk BT" w:cs="Arial"/>
          <w:color w:val="000000" w:themeColor="text1"/>
          <w:sz w:val="24"/>
          <w:szCs w:val="24"/>
        </w:rPr>
        <w:t xml:space="preserve"> </w:t>
      </w:r>
      <w:r w:rsidR="005B630A">
        <w:rPr>
          <w:rFonts w:ascii="AvantGarde Bk BT" w:hAnsi="AvantGarde Bk BT" w:cs="Arial"/>
          <w:color w:val="000000" w:themeColor="text1"/>
          <w:sz w:val="24"/>
          <w:szCs w:val="24"/>
        </w:rPr>
        <w:t>haber atendido la solicitud de información</w:t>
      </w:r>
      <w:r w:rsidR="00040F4D">
        <w:rPr>
          <w:rFonts w:ascii="AvantGarde Bk BT" w:hAnsi="AvantGarde Bk BT" w:cs="Arial"/>
          <w:color w:val="000000" w:themeColor="text1"/>
          <w:sz w:val="24"/>
          <w:szCs w:val="24"/>
        </w:rPr>
        <w:t xml:space="preserve"> no de manera restrictiva</w:t>
      </w:r>
      <w:r w:rsidR="0038416D">
        <w:rPr>
          <w:rFonts w:ascii="AvantGarde Bk BT" w:hAnsi="AvantGarde Bk BT" w:cs="Arial"/>
          <w:color w:val="000000" w:themeColor="text1"/>
          <w:sz w:val="24"/>
          <w:szCs w:val="24"/>
        </w:rPr>
        <w:t xml:space="preserve"> como lo hizo, </w:t>
      </w:r>
      <w:r w:rsidR="00040F4D">
        <w:rPr>
          <w:rFonts w:ascii="AvantGarde Bk BT" w:hAnsi="AvantGarde Bk BT" w:cs="Arial"/>
          <w:color w:val="000000" w:themeColor="text1"/>
          <w:sz w:val="24"/>
          <w:szCs w:val="24"/>
        </w:rPr>
        <w:t xml:space="preserve"> en el sentido de que no publican ninguna revista, sino otorgándole una interpretación amplia,</w:t>
      </w:r>
      <w:r w:rsidR="0038416D">
        <w:rPr>
          <w:rFonts w:ascii="AvantGarde Bk BT" w:hAnsi="AvantGarde Bk BT" w:cs="Arial"/>
          <w:color w:val="000000" w:themeColor="text1"/>
          <w:sz w:val="24"/>
          <w:szCs w:val="24"/>
        </w:rPr>
        <w:t xml:space="preserve"> y desde </w:t>
      </w:r>
      <w:r w:rsidR="000449A1">
        <w:rPr>
          <w:rFonts w:ascii="AvantGarde Bk BT" w:hAnsi="AvantGarde Bk BT" w:cs="Arial"/>
          <w:color w:val="000000" w:themeColor="text1"/>
          <w:sz w:val="24"/>
          <w:szCs w:val="24"/>
        </w:rPr>
        <w:t>la emisión de la respuesta primigenia, hacer del conocimiento del peticionario la publicación que sí realiza</w:t>
      </w:r>
      <w:r w:rsidR="00720475">
        <w:rPr>
          <w:rFonts w:ascii="AvantGarde Bk BT" w:hAnsi="AvantGarde Bk BT" w:cs="Arial"/>
          <w:color w:val="000000" w:themeColor="text1"/>
          <w:sz w:val="24"/>
          <w:szCs w:val="24"/>
        </w:rPr>
        <w:t>n.</w:t>
      </w:r>
    </w:p>
    <w:p w:rsidR="00720475" w:rsidRDefault="00720475" w:rsidP="00720475">
      <w:pPr>
        <w:pStyle w:val="corte4fondo"/>
        <w:tabs>
          <w:tab w:val="left" w:pos="567"/>
        </w:tabs>
        <w:ind w:firstLine="680"/>
        <w:rPr>
          <w:rFonts w:ascii="AvantGarde Bk BT" w:hAnsi="AvantGarde Bk BT" w:cs="Arial"/>
          <w:color w:val="000000" w:themeColor="text1"/>
          <w:sz w:val="24"/>
          <w:szCs w:val="24"/>
        </w:rPr>
      </w:pPr>
    </w:p>
    <w:p w:rsidR="00A424B0" w:rsidRPr="00720475" w:rsidRDefault="00720475" w:rsidP="00720475">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color w:val="000000" w:themeColor="text1"/>
          <w:sz w:val="24"/>
          <w:szCs w:val="24"/>
        </w:rPr>
        <w:t xml:space="preserve">En mérito de lo anterior, a través de la presente resolución </w:t>
      </w:r>
      <w:r w:rsidRPr="00720475">
        <w:rPr>
          <w:rFonts w:ascii="AvantGarde Bk BT" w:hAnsi="AvantGarde Bk BT" w:cs="Arial"/>
          <w:b/>
          <w:color w:val="000000" w:themeColor="text1"/>
          <w:sz w:val="24"/>
          <w:szCs w:val="24"/>
        </w:rPr>
        <w:t>se hace la recomendación a la Secretaría de Cultura para que en lo sucesivo, atienda las solicitudes de información de manera que garantice el efectivo acceso de toda persona la información pública de su interés, y que facilite el ejercicio del derecho humano de acceso a la información.</w:t>
      </w:r>
    </w:p>
    <w:p w:rsidR="00720475" w:rsidRPr="00A424B0" w:rsidRDefault="00720475" w:rsidP="00720475">
      <w:pPr>
        <w:pStyle w:val="corte4fondo"/>
        <w:tabs>
          <w:tab w:val="left" w:pos="567"/>
        </w:tabs>
        <w:ind w:firstLine="680"/>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5.5. Sentido de esta resolución.</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F32AFA" w:rsidRDefault="00A424B0" w:rsidP="00A424B0">
      <w:pPr>
        <w:pStyle w:val="corte4fondo"/>
        <w:tabs>
          <w:tab w:val="left" w:pos="567"/>
        </w:tabs>
        <w:rPr>
          <w:rFonts w:ascii="AvantGarde Bk BT" w:hAnsi="AvantGarde Bk BT" w:cs="Arial"/>
          <w:color w:val="000000" w:themeColor="text1"/>
          <w:sz w:val="24"/>
          <w:szCs w:val="24"/>
        </w:rPr>
      </w:pPr>
      <w:r w:rsidRPr="00F32AFA">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180, fracción III de la Ley de Transparencia y Acceso a la Información Pública del Estado </w:t>
      </w:r>
      <w:r w:rsidRPr="00723262">
        <w:rPr>
          <w:rFonts w:ascii="AvantGarde Bk BT" w:hAnsi="AvantGarde Bk BT" w:cs="Arial"/>
          <w:b/>
          <w:color w:val="000000" w:themeColor="text1"/>
          <w:sz w:val="24"/>
          <w:szCs w:val="24"/>
        </w:rPr>
        <w:t>SOBRESEE</w:t>
      </w:r>
      <w:r w:rsidRPr="00F32AFA">
        <w:rPr>
          <w:rFonts w:ascii="AvantGarde Bk BT" w:hAnsi="AvantGarde Bk BT" w:cs="Arial"/>
          <w:color w:val="000000" w:themeColor="text1"/>
          <w:sz w:val="24"/>
          <w:szCs w:val="24"/>
        </w:rPr>
        <w:t xml:space="preserve"> el presente recurso.</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5.</w:t>
      </w:r>
      <w:r w:rsidR="00F32AFA">
        <w:rPr>
          <w:rFonts w:ascii="AvantGarde Bk BT" w:hAnsi="AvantGarde Bk BT" w:cs="Arial"/>
          <w:b/>
          <w:color w:val="000000" w:themeColor="text1"/>
          <w:sz w:val="24"/>
          <w:szCs w:val="24"/>
        </w:rPr>
        <w:t>6</w:t>
      </w:r>
      <w:r w:rsidRPr="00A424B0">
        <w:rPr>
          <w:rFonts w:ascii="AvantGarde Bk BT" w:hAnsi="AvantGarde Bk BT" w:cs="Arial"/>
          <w:b/>
          <w:color w:val="000000" w:themeColor="text1"/>
          <w:sz w:val="24"/>
          <w:szCs w:val="24"/>
        </w:rPr>
        <w:t>. Archivo.</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ab/>
      </w:r>
    </w:p>
    <w:p w:rsidR="00A424B0" w:rsidRPr="00F32AFA" w:rsidRDefault="00A424B0" w:rsidP="00A424B0">
      <w:pPr>
        <w:pStyle w:val="corte4fondo"/>
        <w:tabs>
          <w:tab w:val="left" w:pos="567"/>
        </w:tabs>
        <w:rPr>
          <w:rFonts w:ascii="AvantGarde Bk BT" w:hAnsi="AvantGarde Bk BT" w:cs="Arial"/>
          <w:color w:val="000000" w:themeColor="text1"/>
          <w:sz w:val="24"/>
          <w:szCs w:val="24"/>
        </w:rPr>
      </w:pPr>
      <w:r w:rsidRPr="00F32AFA">
        <w:rPr>
          <w:rFonts w:ascii="AvantGarde Bk BT" w:hAnsi="AvantGarde Bk BT" w:cs="Arial"/>
          <w:color w:val="000000" w:themeColor="text1"/>
          <w:sz w:val="24"/>
          <w:szCs w:val="24"/>
        </w:rPr>
        <w:lastRenderedPageBreak/>
        <w:t>Que una vez que la presente resolución sea notificada a las partes</w:t>
      </w:r>
      <w:r w:rsidR="00F32AFA" w:rsidRPr="00F32AFA">
        <w:rPr>
          <w:rFonts w:ascii="AvantGarde Bk BT" w:hAnsi="AvantGarde Bk BT" w:cs="Arial"/>
          <w:color w:val="000000" w:themeColor="text1"/>
          <w:sz w:val="24"/>
          <w:szCs w:val="24"/>
        </w:rPr>
        <w:t xml:space="preserve"> </w:t>
      </w:r>
      <w:r w:rsidRPr="00F32AFA">
        <w:rPr>
          <w:rFonts w:ascii="AvantGarde Bk BT" w:hAnsi="AvantGarde Bk BT" w:cs="Arial"/>
          <w:color w:val="000000" w:themeColor="text1"/>
          <w:sz w:val="24"/>
          <w:szCs w:val="24"/>
        </w:rPr>
        <w:t xml:space="preserve">la ponencia mande archivar el presente asunto como totalmente concluido. </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r w:rsidRPr="00A424B0">
        <w:rPr>
          <w:rFonts w:ascii="AvantGarde Bk BT" w:hAnsi="AvantGarde Bk BT" w:cs="Arial"/>
          <w:b/>
          <w:color w:val="000000" w:themeColor="text1"/>
          <w:sz w:val="24"/>
          <w:szCs w:val="24"/>
        </w:rPr>
        <w:t>Por lo expuesto y fundado, SE RESUELVE:</w:t>
      </w:r>
    </w:p>
    <w:p w:rsidR="00A424B0" w:rsidRPr="00A424B0" w:rsidRDefault="00A424B0" w:rsidP="00A424B0">
      <w:pPr>
        <w:pStyle w:val="corte4fondo"/>
        <w:tabs>
          <w:tab w:val="left" w:pos="567"/>
        </w:tabs>
        <w:rPr>
          <w:rFonts w:ascii="AvantGarde Bk BT" w:hAnsi="AvantGarde Bk BT" w:cs="Arial"/>
          <w:b/>
          <w:color w:val="000000" w:themeColor="text1"/>
          <w:sz w:val="24"/>
          <w:szCs w:val="24"/>
        </w:rPr>
      </w:pPr>
    </w:p>
    <w:p w:rsidR="00250873" w:rsidRPr="00F32AFA" w:rsidRDefault="00A424B0" w:rsidP="00A424B0">
      <w:pPr>
        <w:pStyle w:val="corte4fondo"/>
        <w:tabs>
          <w:tab w:val="left" w:pos="567"/>
        </w:tabs>
        <w:rPr>
          <w:rFonts w:ascii="AvantGarde Bk BT" w:hAnsi="AvantGarde Bk BT" w:cs="Arial"/>
          <w:color w:val="000000" w:themeColor="text1"/>
          <w:sz w:val="24"/>
          <w:szCs w:val="24"/>
        </w:rPr>
      </w:pPr>
      <w:r w:rsidRPr="00A424B0">
        <w:rPr>
          <w:rFonts w:ascii="AvantGarde Bk BT" w:hAnsi="AvantGarde Bk BT" w:cs="Arial"/>
          <w:b/>
          <w:color w:val="000000" w:themeColor="text1"/>
          <w:sz w:val="24"/>
          <w:szCs w:val="24"/>
        </w:rPr>
        <w:t xml:space="preserve">ÚNICO. </w:t>
      </w:r>
      <w:r w:rsidRPr="00F32AFA">
        <w:rPr>
          <w:rFonts w:ascii="AvantGarde Bk BT" w:hAnsi="AvantGarde Bk BT" w:cs="Arial"/>
          <w:color w:val="000000" w:themeColor="text1"/>
          <w:sz w:val="24"/>
          <w:szCs w:val="24"/>
        </w:rPr>
        <w:t xml:space="preserve">Esta Comisión Estatal de Garantía y Acceso a la Información Pública, con fundamento en el artículo 180, fracción III de la Ley de Transparencia y Acceso a la Información Pública del Estado, </w:t>
      </w:r>
      <w:r w:rsidRPr="00F32AFA">
        <w:rPr>
          <w:rFonts w:ascii="AvantGarde Bk BT" w:hAnsi="AvantGarde Bk BT" w:cs="Arial"/>
          <w:b/>
          <w:color w:val="000000" w:themeColor="text1"/>
          <w:sz w:val="24"/>
          <w:szCs w:val="24"/>
        </w:rPr>
        <w:t>SOBRESEE</w:t>
      </w:r>
      <w:r w:rsidRPr="00F32AFA">
        <w:rPr>
          <w:rFonts w:ascii="AvantGarde Bk BT" w:hAnsi="AvantGarde Bk BT" w:cs="Arial"/>
          <w:color w:val="000000" w:themeColor="text1"/>
          <w:sz w:val="24"/>
          <w:szCs w:val="24"/>
        </w:rPr>
        <w:t xml:space="preserve"> este recurso de revisión, por los fundamentos y las razones desarrolladas en el Considerando Quinto de la presente resolución.</w:t>
      </w:r>
    </w:p>
    <w:p w:rsidR="00A424B0" w:rsidRPr="007C5605" w:rsidRDefault="00A424B0" w:rsidP="00A424B0">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A424B0">
        <w:rPr>
          <w:rFonts w:ascii="AvantGarde Bk BT" w:hAnsi="AvantGarde Bk BT"/>
          <w:color w:val="000000" w:themeColor="text1"/>
          <w:sz w:val="24"/>
          <w:szCs w:val="24"/>
        </w:rPr>
        <w:t>10 diez de agosto</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proofErr w:type="spellStart"/>
      <w:r w:rsidR="005705DF">
        <w:rPr>
          <w:rFonts w:ascii="AvantGarde Bk BT" w:hAnsi="AvantGarde Bk BT" w:cs="Arial"/>
          <w:color w:val="000000" w:themeColor="text1"/>
          <w:sz w:val="24"/>
          <w:szCs w:val="24"/>
        </w:rPr>
        <w:t>Mar</w:t>
      </w:r>
      <w:r w:rsidR="008B0A50">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w:t>
      </w:r>
      <w:proofErr w:type="spellEnd"/>
      <w:r w:rsidR="005705DF">
        <w:rPr>
          <w:rFonts w:ascii="AvantGarde Bk BT" w:hAnsi="AvantGarde Bk BT" w:cs="Arial"/>
          <w:color w:val="000000" w:themeColor="text1"/>
          <w:sz w:val="24"/>
          <w:szCs w:val="24"/>
        </w:rPr>
        <w:t xml:space="preserve">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F5FF4" w:rsidRDefault="00DF5FF4" w:rsidP="00B86F4A">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135702">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8B0A50">
        <w:rPr>
          <w:rFonts w:ascii="AvantGarde Bk BT" w:hAnsi="AvantGarde Bk BT" w:cs="Arial"/>
          <w:b/>
          <w:color w:val="000000" w:themeColor="text1"/>
        </w:rPr>
        <w:t>I</w:t>
      </w:r>
      <w:bookmarkStart w:id="0" w:name="_GoBack"/>
      <w:bookmarkEnd w:id="0"/>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0369B2" w:rsidRPr="004C15C0"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sectPr w:rsidR="000369B2" w:rsidRPr="004C15C0" w:rsidSect="00B86F4A">
      <w:headerReference w:type="default" r:id="rId13"/>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57A9" w:rsidRDefault="00D257A9" w:rsidP="003864ED">
      <w:pPr>
        <w:spacing w:after="0" w:line="240" w:lineRule="auto"/>
      </w:pPr>
      <w:r>
        <w:separator/>
      </w:r>
    </w:p>
  </w:endnote>
  <w:endnote w:type="continuationSeparator" w:id="0">
    <w:p w:rsidR="00D257A9" w:rsidRDefault="00D257A9"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57A9" w:rsidRDefault="00D257A9" w:rsidP="003864ED">
      <w:pPr>
        <w:spacing w:after="0" w:line="240" w:lineRule="auto"/>
      </w:pPr>
      <w:r>
        <w:separator/>
      </w:r>
    </w:p>
  </w:footnote>
  <w:footnote w:type="continuationSeparator" w:id="0">
    <w:p w:rsidR="00D257A9" w:rsidRDefault="00D257A9"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2268D1" w:rsidRPr="002268D1">
          <w:rPr>
            <w:noProof/>
            <w:lang w:val="es-ES"/>
          </w:rPr>
          <w:t>11</w:t>
        </w:r>
        <w:r>
          <w:fldChar w:fldCharType="end"/>
        </w:r>
        <w:r>
          <w:t xml:space="preserve">                                  </w:t>
        </w:r>
      </w:p>
      <w:p w:rsidR="00A66405" w:rsidRDefault="00A66405" w:rsidP="007E5F3A">
        <w:pPr>
          <w:pStyle w:val="Encabezado"/>
          <w:jc w:val="right"/>
        </w:pPr>
        <w:r>
          <w:t xml:space="preserve">RECURSO DE REVISIÓN </w:t>
        </w:r>
        <w:r w:rsidR="00372D34">
          <w:t>3</w:t>
        </w:r>
        <w:r w:rsidR="000C2642">
          <w:t>79</w:t>
        </w:r>
        <w:r w:rsidR="004D080B">
          <w:t>/</w:t>
        </w:r>
        <w:r>
          <w:t>2018-1</w:t>
        </w:r>
        <w:r w:rsidR="0010246E">
          <w:t xml:space="preserve"> </w:t>
        </w:r>
        <w:r w:rsidR="000C2642">
          <w:t>SIGEMI</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2CFF"/>
    <w:rsid w:val="00003183"/>
    <w:rsid w:val="00004D3C"/>
    <w:rsid w:val="000066AD"/>
    <w:rsid w:val="00011D20"/>
    <w:rsid w:val="00015009"/>
    <w:rsid w:val="00015A95"/>
    <w:rsid w:val="00016AB2"/>
    <w:rsid w:val="00017BB1"/>
    <w:rsid w:val="00020321"/>
    <w:rsid w:val="00022854"/>
    <w:rsid w:val="00023148"/>
    <w:rsid w:val="00023DDC"/>
    <w:rsid w:val="000300B1"/>
    <w:rsid w:val="00030726"/>
    <w:rsid w:val="00031AAC"/>
    <w:rsid w:val="00032C5F"/>
    <w:rsid w:val="0003343A"/>
    <w:rsid w:val="0003354A"/>
    <w:rsid w:val="0003400F"/>
    <w:rsid w:val="0003507B"/>
    <w:rsid w:val="00036122"/>
    <w:rsid w:val="000362A8"/>
    <w:rsid w:val="000362FB"/>
    <w:rsid w:val="000369B2"/>
    <w:rsid w:val="00037BEF"/>
    <w:rsid w:val="00040F4D"/>
    <w:rsid w:val="000413FE"/>
    <w:rsid w:val="0004274F"/>
    <w:rsid w:val="0004294E"/>
    <w:rsid w:val="00042BD6"/>
    <w:rsid w:val="00043069"/>
    <w:rsid w:val="00043A51"/>
    <w:rsid w:val="00043BE1"/>
    <w:rsid w:val="000442C8"/>
    <w:rsid w:val="000449A1"/>
    <w:rsid w:val="000450EB"/>
    <w:rsid w:val="000524E8"/>
    <w:rsid w:val="000528D0"/>
    <w:rsid w:val="000603D2"/>
    <w:rsid w:val="000617D4"/>
    <w:rsid w:val="00061DDD"/>
    <w:rsid w:val="00061F3E"/>
    <w:rsid w:val="000641C8"/>
    <w:rsid w:val="00066886"/>
    <w:rsid w:val="00067660"/>
    <w:rsid w:val="0007132B"/>
    <w:rsid w:val="0007175D"/>
    <w:rsid w:val="00071C60"/>
    <w:rsid w:val="000728F5"/>
    <w:rsid w:val="00072F93"/>
    <w:rsid w:val="00073D92"/>
    <w:rsid w:val="00073FAD"/>
    <w:rsid w:val="0007524C"/>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9531C"/>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642"/>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0FDE"/>
    <w:rsid w:val="00121981"/>
    <w:rsid w:val="00123D7F"/>
    <w:rsid w:val="001246B9"/>
    <w:rsid w:val="00125FEE"/>
    <w:rsid w:val="0012671C"/>
    <w:rsid w:val="00131457"/>
    <w:rsid w:val="00131565"/>
    <w:rsid w:val="00131A56"/>
    <w:rsid w:val="00132B4A"/>
    <w:rsid w:val="00133F96"/>
    <w:rsid w:val="00135702"/>
    <w:rsid w:val="0013755E"/>
    <w:rsid w:val="00141F55"/>
    <w:rsid w:val="001458BC"/>
    <w:rsid w:val="00146903"/>
    <w:rsid w:val="00146EA8"/>
    <w:rsid w:val="0015001F"/>
    <w:rsid w:val="00150455"/>
    <w:rsid w:val="00150901"/>
    <w:rsid w:val="00152F21"/>
    <w:rsid w:val="00153E3F"/>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8BA"/>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123"/>
    <w:rsid w:val="001947D3"/>
    <w:rsid w:val="00194D48"/>
    <w:rsid w:val="00196474"/>
    <w:rsid w:val="00196579"/>
    <w:rsid w:val="001A0953"/>
    <w:rsid w:val="001A1B21"/>
    <w:rsid w:val="001A2A61"/>
    <w:rsid w:val="001A3A03"/>
    <w:rsid w:val="001A473A"/>
    <w:rsid w:val="001A4D90"/>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39A0"/>
    <w:rsid w:val="0020417A"/>
    <w:rsid w:val="002054DA"/>
    <w:rsid w:val="0020592E"/>
    <w:rsid w:val="002068CA"/>
    <w:rsid w:val="00206F0E"/>
    <w:rsid w:val="00207377"/>
    <w:rsid w:val="00211075"/>
    <w:rsid w:val="00211C8A"/>
    <w:rsid w:val="0021241B"/>
    <w:rsid w:val="00214C51"/>
    <w:rsid w:val="0021539B"/>
    <w:rsid w:val="00216E89"/>
    <w:rsid w:val="00217203"/>
    <w:rsid w:val="00217EA4"/>
    <w:rsid w:val="00220823"/>
    <w:rsid w:val="00220846"/>
    <w:rsid w:val="0022109A"/>
    <w:rsid w:val="00221BDB"/>
    <w:rsid w:val="00223C34"/>
    <w:rsid w:val="00225E11"/>
    <w:rsid w:val="002268D1"/>
    <w:rsid w:val="00226C49"/>
    <w:rsid w:val="00230AA8"/>
    <w:rsid w:val="00230D08"/>
    <w:rsid w:val="00233938"/>
    <w:rsid w:val="00233ED1"/>
    <w:rsid w:val="00234ADD"/>
    <w:rsid w:val="002350B9"/>
    <w:rsid w:val="00241713"/>
    <w:rsid w:val="002425F2"/>
    <w:rsid w:val="0024465B"/>
    <w:rsid w:val="00245AD7"/>
    <w:rsid w:val="00246414"/>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049"/>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0762"/>
    <w:rsid w:val="00321700"/>
    <w:rsid w:val="00321CCA"/>
    <w:rsid w:val="0032230D"/>
    <w:rsid w:val="00322574"/>
    <w:rsid w:val="00324733"/>
    <w:rsid w:val="00325332"/>
    <w:rsid w:val="00326C14"/>
    <w:rsid w:val="00327403"/>
    <w:rsid w:val="003279DB"/>
    <w:rsid w:val="0033090A"/>
    <w:rsid w:val="00331AE5"/>
    <w:rsid w:val="003320D4"/>
    <w:rsid w:val="00335567"/>
    <w:rsid w:val="00341D49"/>
    <w:rsid w:val="00341E99"/>
    <w:rsid w:val="003443E8"/>
    <w:rsid w:val="00344A6F"/>
    <w:rsid w:val="00344D10"/>
    <w:rsid w:val="00345AAD"/>
    <w:rsid w:val="0035003F"/>
    <w:rsid w:val="003512C8"/>
    <w:rsid w:val="003512FB"/>
    <w:rsid w:val="00351B33"/>
    <w:rsid w:val="00351F8B"/>
    <w:rsid w:val="00352BE5"/>
    <w:rsid w:val="00353490"/>
    <w:rsid w:val="00353685"/>
    <w:rsid w:val="00354539"/>
    <w:rsid w:val="00354E73"/>
    <w:rsid w:val="003560AE"/>
    <w:rsid w:val="00360687"/>
    <w:rsid w:val="00361782"/>
    <w:rsid w:val="00363AE3"/>
    <w:rsid w:val="003641AB"/>
    <w:rsid w:val="0036450D"/>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1FA"/>
    <w:rsid w:val="00383944"/>
    <w:rsid w:val="00383BB6"/>
    <w:rsid w:val="0038405A"/>
    <w:rsid w:val="0038416D"/>
    <w:rsid w:val="003848C3"/>
    <w:rsid w:val="00385C09"/>
    <w:rsid w:val="003864ED"/>
    <w:rsid w:val="0038760F"/>
    <w:rsid w:val="00391F31"/>
    <w:rsid w:val="00392D97"/>
    <w:rsid w:val="00392F37"/>
    <w:rsid w:val="0039337A"/>
    <w:rsid w:val="00393697"/>
    <w:rsid w:val="00393856"/>
    <w:rsid w:val="00393C44"/>
    <w:rsid w:val="00396F07"/>
    <w:rsid w:val="003A2315"/>
    <w:rsid w:val="003A3516"/>
    <w:rsid w:val="003A4C4E"/>
    <w:rsid w:val="003A512E"/>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0A53"/>
    <w:rsid w:val="003D18F8"/>
    <w:rsid w:val="003D2911"/>
    <w:rsid w:val="003D5A1A"/>
    <w:rsid w:val="003D6998"/>
    <w:rsid w:val="003D7603"/>
    <w:rsid w:val="003D770B"/>
    <w:rsid w:val="003D7984"/>
    <w:rsid w:val="003E0092"/>
    <w:rsid w:val="003E0B92"/>
    <w:rsid w:val="003E298C"/>
    <w:rsid w:val="003E3F70"/>
    <w:rsid w:val="003E5DEE"/>
    <w:rsid w:val="003E5FD1"/>
    <w:rsid w:val="003F0FED"/>
    <w:rsid w:val="003F119C"/>
    <w:rsid w:val="003F155E"/>
    <w:rsid w:val="003F1C43"/>
    <w:rsid w:val="003F213F"/>
    <w:rsid w:val="003F35E3"/>
    <w:rsid w:val="003F4095"/>
    <w:rsid w:val="003F4DBF"/>
    <w:rsid w:val="003F504F"/>
    <w:rsid w:val="003F5536"/>
    <w:rsid w:val="00402370"/>
    <w:rsid w:val="00402426"/>
    <w:rsid w:val="0040294A"/>
    <w:rsid w:val="00402FB4"/>
    <w:rsid w:val="00403BF0"/>
    <w:rsid w:val="004040D3"/>
    <w:rsid w:val="0040497D"/>
    <w:rsid w:val="00404C55"/>
    <w:rsid w:val="00404E89"/>
    <w:rsid w:val="00406B2A"/>
    <w:rsid w:val="00406CC2"/>
    <w:rsid w:val="0041035D"/>
    <w:rsid w:val="004103C2"/>
    <w:rsid w:val="004115E8"/>
    <w:rsid w:val="00412001"/>
    <w:rsid w:val="004135E1"/>
    <w:rsid w:val="00414690"/>
    <w:rsid w:val="00414756"/>
    <w:rsid w:val="00415213"/>
    <w:rsid w:val="0041566E"/>
    <w:rsid w:val="00415B26"/>
    <w:rsid w:val="00415C6E"/>
    <w:rsid w:val="00420835"/>
    <w:rsid w:val="00420FE9"/>
    <w:rsid w:val="00422CD1"/>
    <w:rsid w:val="004234A9"/>
    <w:rsid w:val="00423EFB"/>
    <w:rsid w:val="004242FC"/>
    <w:rsid w:val="004271DB"/>
    <w:rsid w:val="0042723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2CF7"/>
    <w:rsid w:val="0045467A"/>
    <w:rsid w:val="00454FA4"/>
    <w:rsid w:val="0045652E"/>
    <w:rsid w:val="00460DFB"/>
    <w:rsid w:val="0046569E"/>
    <w:rsid w:val="00472090"/>
    <w:rsid w:val="004742C5"/>
    <w:rsid w:val="00475471"/>
    <w:rsid w:val="004801F0"/>
    <w:rsid w:val="00480745"/>
    <w:rsid w:val="00480F0F"/>
    <w:rsid w:val="00483017"/>
    <w:rsid w:val="004837F0"/>
    <w:rsid w:val="004842A7"/>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4A15"/>
    <w:rsid w:val="004E4CCA"/>
    <w:rsid w:val="004E7C39"/>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3CC9"/>
    <w:rsid w:val="0056434F"/>
    <w:rsid w:val="00567797"/>
    <w:rsid w:val="00567A71"/>
    <w:rsid w:val="005705DF"/>
    <w:rsid w:val="0057063B"/>
    <w:rsid w:val="0057150C"/>
    <w:rsid w:val="00571DB4"/>
    <w:rsid w:val="005723C0"/>
    <w:rsid w:val="005726D5"/>
    <w:rsid w:val="00573117"/>
    <w:rsid w:val="005752F9"/>
    <w:rsid w:val="00577534"/>
    <w:rsid w:val="00581774"/>
    <w:rsid w:val="00581CB4"/>
    <w:rsid w:val="00583B73"/>
    <w:rsid w:val="00585207"/>
    <w:rsid w:val="005853C7"/>
    <w:rsid w:val="005873DB"/>
    <w:rsid w:val="00591BAC"/>
    <w:rsid w:val="00591E89"/>
    <w:rsid w:val="005933C1"/>
    <w:rsid w:val="00593E21"/>
    <w:rsid w:val="00594CEF"/>
    <w:rsid w:val="005957F6"/>
    <w:rsid w:val="00595D2F"/>
    <w:rsid w:val="00595D79"/>
    <w:rsid w:val="00596EFB"/>
    <w:rsid w:val="005A01FF"/>
    <w:rsid w:val="005A1B85"/>
    <w:rsid w:val="005A1CCF"/>
    <w:rsid w:val="005A2679"/>
    <w:rsid w:val="005A3729"/>
    <w:rsid w:val="005A4133"/>
    <w:rsid w:val="005A4D8B"/>
    <w:rsid w:val="005A648D"/>
    <w:rsid w:val="005A766F"/>
    <w:rsid w:val="005A7780"/>
    <w:rsid w:val="005B1A42"/>
    <w:rsid w:val="005B28C6"/>
    <w:rsid w:val="005B3150"/>
    <w:rsid w:val="005B31AE"/>
    <w:rsid w:val="005B3277"/>
    <w:rsid w:val="005B38F0"/>
    <w:rsid w:val="005B630A"/>
    <w:rsid w:val="005B666F"/>
    <w:rsid w:val="005C467A"/>
    <w:rsid w:val="005C6DFB"/>
    <w:rsid w:val="005C6E51"/>
    <w:rsid w:val="005D00F9"/>
    <w:rsid w:val="005D067A"/>
    <w:rsid w:val="005D0C14"/>
    <w:rsid w:val="005D0D7E"/>
    <w:rsid w:val="005D1642"/>
    <w:rsid w:val="005D22F8"/>
    <w:rsid w:val="005D3F90"/>
    <w:rsid w:val="005D4DC1"/>
    <w:rsid w:val="005D5093"/>
    <w:rsid w:val="005D50A5"/>
    <w:rsid w:val="005D5CBA"/>
    <w:rsid w:val="005D675B"/>
    <w:rsid w:val="005E0021"/>
    <w:rsid w:val="005E44A3"/>
    <w:rsid w:val="005E6860"/>
    <w:rsid w:val="005E7E91"/>
    <w:rsid w:val="005F0E9E"/>
    <w:rsid w:val="005F1483"/>
    <w:rsid w:val="005F1DB0"/>
    <w:rsid w:val="005F4058"/>
    <w:rsid w:val="005F469A"/>
    <w:rsid w:val="005F49B3"/>
    <w:rsid w:val="005F55F0"/>
    <w:rsid w:val="005F696D"/>
    <w:rsid w:val="005F6FFB"/>
    <w:rsid w:val="0060124B"/>
    <w:rsid w:val="006033B5"/>
    <w:rsid w:val="006047F1"/>
    <w:rsid w:val="00606219"/>
    <w:rsid w:val="006073DF"/>
    <w:rsid w:val="006101C7"/>
    <w:rsid w:val="006118B1"/>
    <w:rsid w:val="00614223"/>
    <w:rsid w:val="0061430A"/>
    <w:rsid w:val="0061495B"/>
    <w:rsid w:val="00616D60"/>
    <w:rsid w:val="00616F4B"/>
    <w:rsid w:val="00620CA5"/>
    <w:rsid w:val="00621433"/>
    <w:rsid w:val="0062168C"/>
    <w:rsid w:val="00622D9B"/>
    <w:rsid w:val="0062536E"/>
    <w:rsid w:val="00630546"/>
    <w:rsid w:val="006334B5"/>
    <w:rsid w:val="00636A24"/>
    <w:rsid w:val="00636A6A"/>
    <w:rsid w:val="00637AC5"/>
    <w:rsid w:val="00641E08"/>
    <w:rsid w:val="006431D6"/>
    <w:rsid w:val="00643BB1"/>
    <w:rsid w:val="006446BA"/>
    <w:rsid w:val="006446C5"/>
    <w:rsid w:val="00644CFD"/>
    <w:rsid w:val="00646143"/>
    <w:rsid w:val="00653626"/>
    <w:rsid w:val="0065366A"/>
    <w:rsid w:val="0065388B"/>
    <w:rsid w:val="0065410F"/>
    <w:rsid w:val="00654DC5"/>
    <w:rsid w:val="006563A3"/>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2ED4"/>
    <w:rsid w:val="0068462C"/>
    <w:rsid w:val="006846F7"/>
    <w:rsid w:val="00687830"/>
    <w:rsid w:val="00690EBF"/>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2C59"/>
    <w:rsid w:val="006B5647"/>
    <w:rsid w:val="006B564B"/>
    <w:rsid w:val="006B7E1C"/>
    <w:rsid w:val="006C1939"/>
    <w:rsid w:val="006C2516"/>
    <w:rsid w:val="006C3045"/>
    <w:rsid w:val="006C3E35"/>
    <w:rsid w:val="006C41B6"/>
    <w:rsid w:val="006C4F26"/>
    <w:rsid w:val="006C6524"/>
    <w:rsid w:val="006C6F83"/>
    <w:rsid w:val="006D0FFC"/>
    <w:rsid w:val="006D1D44"/>
    <w:rsid w:val="006D2705"/>
    <w:rsid w:val="006D4F9D"/>
    <w:rsid w:val="006D522D"/>
    <w:rsid w:val="006D5323"/>
    <w:rsid w:val="006D6203"/>
    <w:rsid w:val="006D6A01"/>
    <w:rsid w:val="006D6E45"/>
    <w:rsid w:val="006D7FCD"/>
    <w:rsid w:val="006E07DC"/>
    <w:rsid w:val="006E1F8C"/>
    <w:rsid w:val="006E396C"/>
    <w:rsid w:val="006E406F"/>
    <w:rsid w:val="006E40F1"/>
    <w:rsid w:val="006E4842"/>
    <w:rsid w:val="006E60FB"/>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0DE3"/>
    <w:rsid w:val="00711241"/>
    <w:rsid w:val="00712839"/>
    <w:rsid w:val="00712FB4"/>
    <w:rsid w:val="00713445"/>
    <w:rsid w:val="00713B3B"/>
    <w:rsid w:val="00714196"/>
    <w:rsid w:val="00715CEA"/>
    <w:rsid w:val="007167DE"/>
    <w:rsid w:val="00716CC0"/>
    <w:rsid w:val="00717216"/>
    <w:rsid w:val="00717599"/>
    <w:rsid w:val="00720475"/>
    <w:rsid w:val="00720626"/>
    <w:rsid w:val="00721576"/>
    <w:rsid w:val="00722BBB"/>
    <w:rsid w:val="00723262"/>
    <w:rsid w:val="00723B08"/>
    <w:rsid w:val="00723CF2"/>
    <w:rsid w:val="007241E1"/>
    <w:rsid w:val="00727965"/>
    <w:rsid w:val="00730140"/>
    <w:rsid w:val="0073157A"/>
    <w:rsid w:val="00731B85"/>
    <w:rsid w:val="007326CA"/>
    <w:rsid w:val="0073360E"/>
    <w:rsid w:val="00735D8C"/>
    <w:rsid w:val="007414F4"/>
    <w:rsid w:val="00741579"/>
    <w:rsid w:val="00744552"/>
    <w:rsid w:val="0074538E"/>
    <w:rsid w:val="00745FFC"/>
    <w:rsid w:val="00746C89"/>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5BD"/>
    <w:rsid w:val="00765DA2"/>
    <w:rsid w:val="0076602B"/>
    <w:rsid w:val="007665CC"/>
    <w:rsid w:val="00766F46"/>
    <w:rsid w:val="00771282"/>
    <w:rsid w:val="0077262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DBB"/>
    <w:rsid w:val="007E5F3A"/>
    <w:rsid w:val="007E6130"/>
    <w:rsid w:val="007F0577"/>
    <w:rsid w:val="007F1534"/>
    <w:rsid w:val="007F2E17"/>
    <w:rsid w:val="007F31D5"/>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33AE5"/>
    <w:rsid w:val="00835BB1"/>
    <w:rsid w:val="00840288"/>
    <w:rsid w:val="008403C2"/>
    <w:rsid w:val="00841546"/>
    <w:rsid w:val="008418AA"/>
    <w:rsid w:val="00841FBE"/>
    <w:rsid w:val="00843FA5"/>
    <w:rsid w:val="0084484D"/>
    <w:rsid w:val="00844BD8"/>
    <w:rsid w:val="00845C98"/>
    <w:rsid w:val="0084778B"/>
    <w:rsid w:val="00847BEF"/>
    <w:rsid w:val="00847FEA"/>
    <w:rsid w:val="008511E6"/>
    <w:rsid w:val="00852404"/>
    <w:rsid w:val="00852DFE"/>
    <w:rsid w:val="0085384B"/>
    <w:rsid w:val="00855F88"/>
    <w:rsid w:val="00856BF6"/>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84979"/>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6B25"/>
    <w:rsid w:val="008A7642"/>
    <w:rsid w:val="008A7FF4"/>
    <w:rsid w:val="008B008E"/>
    <w:rsid w:val="008B0A50"/>
    <w:rsid w:val="008B0D62"/>
    <w:rsid w:val="008B3601"/>
    <w:rsid w:val="008B3DEE"/>
    <w:rsid w:val="008B74F1"/>
    <w:rsid w:val="008B7F5D"/>
    <w:rsid w:val="008C07DE"/>
    <w:rsid w:val="008C14F6"/>
    <w:rsid w:val="008C3575"/>
    <w:rsid w:val="008C41A8"/>
    <w:rsid w:val="008C55EB"/>
    <w:rsid w:val="008C5858"/>
    <w:rsid w:val="008C5873"/>
    <w:rsid w:val="008C6821"/>
    <w:rsid w:val="008C6DEB"/>
    <w:rsid w:val="008C70F9"/>
    <w:rsid w:val="008D001D"/>
    <w:rsid w:val="008D1A01"/>
    <w:rsid w:val="008D52B2"/>
    <w:rsid w:val="008E010A"/>
    <w:rsid w:val="008E2ADF"/>
    <w:rsid w:val="008E3E4D"/>
    <w:rsid w:val="008E4159"/>
    <w:rsid w:val="008F23D5"/>
    <w:rsid w:val="008F33AB"/>
    <w:rsid w:val="008F4777"/>
    <w:rsid w:val="008F5E00"/>
    <w:rsid w:val="008F65E9"/>
    <w:rsid w:val="008F6684"/>
    <w:rsid w:val="008F707F"/>
    <w:rsid w:val="00901077"/>
    <w:rsid w:val="00902038"/>
    <w:rsid w:val="00902D96"/>
    <w:rsid w:val="00903ECC"/>
    <w:rsid w:val="00906244"/>
    <w:rsid w:val="00907D72"/>
    <w:rsid w:val="0091068B"/>
    <w:rsid w:val="00910ECA"/>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3A13"/>
    <w:rsid w:val="009643E0"/>
    <w:rsid w:val="00964430"/>
    <w:rsid w:val="009653B5"/>
    <w:rsid w:val="009656F1"/>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2F04"/>
    <w:rsid w:val="009D3529"/>
    <w:rsid w:val="009D4606"/>
    <w:rsid w:val="009D5891"/>
    <w:rsid w:val="009D71D7"/>
    <w:rsid w:val="009E0092"/>
    <w:rsid w:val="009E136B"/>
    <w:rsid w:val="009E165E"/>
    <w:rsid w:val="009E375F"/>
    <w:rsid w:val="009E4194"/>
    <w:rsid w:val="009E5BBD"/>
    <w:rsid w:val="009E61DF"/>
    <w:rsid w:val="009E6CC7"/>
    <w:rsid w:val="009F0742"/>
    <w:rsid w:val="009F1408"/>
    <w:rsid w:val="009F164D"/>
    <w:rsid w:val="009F1B70"/>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2BD9"/>
    <w:rsid w:val="00A22FEA"/>
    <w:rsid w:val="00A23E64"/>
    <w:rsid w:val="00A2443F"/>
    <w:rsid w:val="00A245E3"/>
    <w:rsid w:val="00A24D8D"/>
    <w:rsid w:val="00A265FA"/>
    <w:rsid w:val="00A3655A"/>
    <w:rsid w:val="00A369D3"/>
    <w:rsid w:val="00A410AA"/>
    <w:rsid w:val="00A424B0"/>
    <w:rsid w:val="00A42891"/>
    <w:rsid w:val="00A42D45"/>
    <w:rsid w:val="00A42E17"/>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C3B"/>
    <w:rsid w:val="00A8585B"/>
    <w:rsid w:val="00A85ABF"/>
    <w:rsid w:val="00A85F22"/>
    <w:rsid w:val="00A905A1"/>
    <w:rsid w:val="00A909F9"/>
    <w:rsid w:val="00A90BAF"/>
    <w:rsid w:val="00AA2B12"/>
    <w:rsid w:val="00AA305C"/>
    <w:rsid w:val="00AA5CCF"/>
    <w:rsid w:val="00AA7625"/>
    <w:rsid w:val="00AB021D"/>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7D30"/>
    <w:rsid w:val="00B27E43"/>
    <w:rsid w:val="00B324B8"/>
    <w:rsid w:val="00B328FB"/>
    <w:rsid w:val="00B3336E"/>
    <w:rsid w:val="00B33FD6"/>
    <w:rsid w:val="00B353A5"/>
    <w:rsid w:val="00B361E9"/>
    <w:rsid w:val="00B37048"/>
    <w:rsid w:val="00B37639"/>
    <w:rsid w:val="00B37C1C"/>
    <w:rsid w:val="00B40644"/>
    <w:rsid w:val="00B42B0A"/>
    <w:rsid w:val="00B42C37"/>
    <w:rsid w:val="00B44597"/>
    <w:rsid w:val="00B45C8A"/>
    <w:rsid w:val="00B469F5"/>
    <w:rsid w:val="00B5058F"/>
    <w:rsid w:val="00B50689"/>
    <w:rsid w:val="00B506B1"/>
    <w:rsid w:val="00B52313"/>
    <w:rsid w:val="00B54C68"/>
    <w:rsid w:val="00B55A6F"/>
    <w:rsid w:val="00B57313"/>
    <w:rsid w:val="00B6236C"/>
    <w:rsid w:val="00B63E86"/>
    <w:rsid w:val="00B64796"/>
    <w:rsid w:val="00B67400"/>
    <w:rsid w:val="00B73756"/>
    <w:rsid w:val="00B739D4"/>
    <w:rsid w:val="00B74A23"/>
    <w:rsid w:val="00B75002"/>
    <w:rsid w:val="00B754E9"/>
    <w:rsid w:val="00B76898"/>
    <w:rsid w:val="00B76DA1"/>
    <w:rsid w:val="00B77677"/>
    <w:rsid w:val="00B77B7B"/>
    <w:rsid w:val="00B80478"/>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5881"/>
    <w:rsid w:val="00BE69B7"/>
    <w:rsid w:val="00BE6B23"/>
    <w:rsid w:val="00BF058D"/>
    <w:rsid w:val="00BF2296"/>
    <w:rsid w:val="00BF2F77"/>
    <w:rsid w:val="00BF4287"/>
    <w:rsid w:val="00BF5ABD"/>
    <w:rsid w:val="00BF5F47"/>
    <w:rsid w:val="00BF64F0"/>
    <w:rsid w:val="00BF6AAA"/>
    <w:rsid w:val="00BF7B76"/>
    <w:rsid w:val="00C023EC"/>
    <w:rsid w:val="00C02FFD"/>
    <w:rsid w:val="00C0476C"/>
    <w:rsid w:val="00C04B05"/>
    <w:rsid w:val="00C04E61"/>
    <w:rsid w:val="00C06903"/>
    <w:rsid w:val="00C0707B"/>
    <w:rsid w:val="00C0761B"/>
    <w:rsid w:val="00C12921"/>
    <w:rsid w:val="00C139A6"/>
    <w:rsid w:val="00C147F4"/>
    <w:rsid w:val="00C1512C"/>
    <w:rsid w:val="00C17EAB"/>
    <w:rsid w:val="00C2016E"/>
    <w:rsid w:val="00C20C2E"/>
    <w:rsid w:val="00C22674"/>
    <w:rsid w:val="00C25993"/>
    <w:rsid w:val="00C262CC"/>
    <w:rsid w:val="00C26CD2"/>
    <w:rsid w:val="00C34C24"/>
    <w:rsid w:val="00C350FE"/>
    <w:rsid w:val="00C35AEC"/>
    <w:rsid w:val="00C36E14"/>
    <w:rsid w:val="00C37CF7"/>
    <w:rsid w:val="00C4163F"/>
    <w:rsid w:val="00C42490"/>
    <w:rsid w:val="00C4320F"/>
    <w:rsid w:val="00C44938"/>
    <w:rsid w:val="00C44D28"/>
    <w:rsid w:val="00C45368"/>
    <w:rsid w:val="00C4570D"/>
    <w:rsid w:val="00C50352"/>
    <w:rsid w:val="00C51585"/>
    <w:rsid w:val="00C523B3"/>
    <w:rsid w:val="00C53225"/>
    <w:rsid w:val="00C533B8"/>
    <w:rsid w:val="00C53BBE"/>
    <w:rsid w:val="00C550D6"/>
    <w:rsid w:val="00C568CD"/>
    <w:rsid w:val="00C56DEF"/>
    <w:rsid w:val="00C56EA2"/>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063"/>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B6AEF"/>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5C51"/>
    <w:rsid w:val="00CF7485"/>
    <w:rsid w:val="00D0124B"/>
    <w:rsid w:val="00D0124D"/>
    <w:rsid w:val="00D0288D"/>
    <w:rsid w:val="00D03EF1"/>
    <w:rsid w:val="00D05639"/>
    <w:rsid w:val="00D058C0"/>
    <w:rsid w:val="00D0725B"/>
    <w:rsid w:val="00D0740D"/>
    <w:rsid w:val="00D07951"/>
    <w:rsid w:val="00D07ABE"/>
    <w:rsid w:val="00D10F21"/>
    <w:rsid w:val="00D123E8"/>
    <w:rsid w:val="00D13A12"/>
    <w:rsid w:val="00D14995"/>
    <w:rsid w:val="00D150D6"/>
    <w:rsid w:val="00D1586D"/>
    <w:rsid w:val="00D230E7"/>
    <w:rsid w:val="00D247F7"/>
    <w:rsid w:val="00D24D2D"/>
    <w:rsid w:val="00D24FBB"/>
    <w:rsid w:val="00D2532D"/>
    <w:rsid w:val="00D257A9"/>
    <w:rsid w:val="00D265C2"/>
    <w:rsid w:val="00D27FED"/>
    <w:rsid w:val="00D316A6"/>
    <w:rsid w:val="00D32523"/>
    <w:rsid w:val="00D32BDF"/>
    <w:rsid w:val="00D33584"/>
    <w:rsid w:val="00D34F67"/>
    <w:rsid w:val="00D413D6"/>
    <w:rsid w:val="00D4233F"/>
    <w:rsid w:val="00D429EB"/>
    <w:rsid w:val="00D4467E"/>
    <w:rsid w:val="00D4607E"/>
    <w:rsid w:val="00D47B22"/>
    <w:rsid w:val="00D47CA9"/>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2719"/>
    <w:rsid w:val="00DA405C"/>
    <w:rsid w:val="00DA413B"/>
    <w:rsid w:val="00DA5276"/>
    <w:rsid w:val="00DA5C57"/>
    <w:rsid w:val="00DA7FED"/>
    <w:rsid w:val="00DB058B"/>
    <w:rsid w:val="00DB0D57"/>
    <w:rsid w:val="00DB4203"/>
    <w:rsid w:val="00DB5870"/>
    <w:rsid w:val="00DB6F12"/>
    <w:rsid w:val="00DB7125"/>
    <w:rsid w:val="00DC051C"/>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196"/>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52A1"/>
    <w:rsid w:val="00E36277"/>
    <w:rsid w:val="00E36DCC"/>
    <w:rsid w:val="00E376C1"/>
    <w:rsid w:val="00E376F4"/>
    <w:rsid w:val="00E40E02"/>
    <w:rsid w:val="00E41A5D"/>
    <w:rsid w:val="00E458B7"/>
    <w:rsid w:val="00E47DEE"/>
    <w:rsid w:val="00E509BB"/>
    <w:rsid w:val="00E51BA6"/>
    <w:rsid w:val="00E544A0"/>
    <w:rsid w:val="00E55371"/>
    <w:rsid w:val="00E5583B"/>
    <w:rsid w:val="00E570A6"/>
    <w:rsid w:val="00E606E3"/>
    <w:rsid w:val="00E60A11"/>
    <w:rsid w:val="00E60E11"/>
    <w:rsid w:val="00E60FA6"/>
    <w:rsid w:val="00E612A0"/>
    <w:rsid w:val="00E619F4"/>
    <w:rsid w:val="00E6757F"/>
    <w:rsid w:val="00E7030B"/>
    <w:rsid w:val="00E703B5"/>
    <w:rsid w:val="00E70DD6"/>
    <w:rsid w:val="00E71CBE"/>
    <w:rsid w:val="00E725B0"/>
    <w:rsid w:val="00E73642"/>
    <w:rsid w:val="00E742CE"/>
    <w:rsid w:val="00E74C1A"/>
    <w:rsid w:val="00E74C1D"/>
    <w:rsid w:val="00E7583B"/>
    <w:rsid w:val="00E769B6"/>
    <w:rsid w:val="00E76A6C"/>
    <w:rsid w:val="00E77F21"/>
    <w:rsid w:val="00E81782"/>
    <w:rsid w:val="00E81BA2"/>
    <w:rsid w:val="00E830A3"/>
    <w:rsid w:val="00E831B5"/>
    <w:rsid w:val="00E8412F"/>
    <w:rsid w:val="00E84394"/>
    <w:rsid w:val="00E85DE6"/>
    <w:rsid w:val="00E87456"/>
    <w:rsid w:val="00E8784D"/>
    <w:rsid w:val="00E901FC"/>
    <w:rsid w:val="00E90399"/>
    <w:rsid w:val="00E90BC7"/>
    <w:rsid w:val="00E913C5"/>
    <w:rsid w:val="00E92B14"/>
    <w:rsid w:val="00E92EFD"/>
    <w:rsid w:val="00E93296"/>
    <w:rsid w:val="00E93F15"/>
    <w:rsid w:val="00E95AFB"/>
    <w:rsid w:val="00E96CC9"/>
    <w:rsid w:val="00EA0D54"/>
    <w:rsid w:val="00EA1412"/>
    <w:rsid w:val="00EA2555"/>
    <w:rsid w:val="00EA2676"/>
    <w:rsid w:val="00EA2797"/>
    <w:rsid w:val="00EA2948"/>
    <w:rsid w:val="00EA2D12"/>
    <w:rsid w:val="00EA57F9"/>
    <w:rsid w:val="00EA5D60"/>
    <w:rsid w:val="00EA60FB"/>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2AFA"/>
    <w:rsid w:val="00F35358"/>
    <w:rsid w:val="00F35C21"/>
    <w:rsid w:val="00F36033"/>
    <w:rsid w:val="00F4121A"/>
    <w:rsid w:val="00F42F06"/>
    <w:rsid w:val="00F43CC6"/>
    <w:rsid w:val="00F43F0B"/>
    <w:rsid w:val="00F46F88"/>
    <w:rsid w:val="00F50CE8"/>
    <w:rsid w:val="00F5182C"/>
    <w:rsid w:val="00F51B24"/>
    <w:rsid w:val="00F52FFC"/>
    <w:rsid w:val="00F5479E"/>
    <w:rsid w:val="00F621E3"/>
    <w:rsid w:val="00F6252E"/>
    <w:rsid w:val="00F64127"/>
    <w:rsid w:val="00F654AF"/>
    <w:rsid w:val="00F67665"/>
    <w:rsid w:val="00F72468"/>
    <w:rsid w:val="00F72564"/>
    <w:rsid w:val="00F73F5B"/>
    <w:rsid w:val="00F74290"/>
    <w:rsid w:val="00F752F0"/>
    <w:rsid w:val="00F8066D"/>
    <w:rsid w:val="00F80BBF"/>
    <w:rsid w:val="00F82C72"/>
    <w:rsid w:val="00F83753"/>
    <w:rsid w:val="00F8644A"/>
    <w:rsid w:val="00F90C62"/>
    <w:rsid w:val="00F926C9"/>
    <w:rsid w:val="00F929E0"/>
    <w:rsid w:val="00F9314C"/>
    <w:rsid w:val="00F946FF"/>
    <w:rsid w:val="00F94877"/>
    <w:rsid w:val="00F948BC"/>
    <w:rsid w:val="00F95355"/>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82A"/>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EBC"/>
    <w:rsid w:val="00FE0969"/>
    <w:rsid w:val="00FE17F0"/>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CAF6E"/>
  <w15:docId w15:val="{018CB53C-1581-483A-84BF-0AD308006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E352A1"/>
    <w:rPr>
      <w:color w:val="605E5C"/>
      <w:shd w:val="clear" w:color="auto" w:fill="E1DFDD"/>
    </w:rPr>
  </w:style>
  <w:style w:type="character" w:styleId="Hipervnculovisitado">
    <w:name w:val="FollowedHyperlink"/>
    <w:basedOn w:val="Fuentedeprrafopredeter"/>
    <w:uiPriority w:val="99"/>
    <w:semiHidden/>
    <w:unhideWhenUsed/>
    <w:rsid w:val="0007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ulturaslp.gob.mx/agenda-cultural/" TargetMode="External"/><Relationship Id="rId4" Type="http://schemas.openxmlformats.org/officeDocument/2006/relationships/settings" Target="settings.xml"/><Relationship Id="rId9" Type="http://schemas.openxmlformats.org/officeDocument/2006/relationships/hyperlink" Target="https://culturaslp.gob.mx/agenda-cultura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5D7F8-B4E3-4EB4-9F44-B0963B4D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14</Pages>
  <Words>3142</Words>
  <Characters>17285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104</cp:revision>
  <cp:lastPrinted>2018-07-13T15:28:00Z</cp:lastPrinted>
  <dcterms:created xsi:type="dcterms:W3CDTF">2018-07-13T15:31:00Z</dcterms:created>
  <dcterms:modified xsi:type="dcterms:W3CDTF">2018-08-22T14:31:00Z</dcterms:modified>
</cp:coreProperties>
</file>